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drawing>
          <wp:inline distB="114300" distT="114300" distL="114300" distR="114300">
            <wp:extent cx="5943600" cy="1270000"/>
            <wp:effectExtent b="0" l="0" r="0" t="0"/>
            <wp:docPr descr="Grossmont College Logo" id="7" name="image1.png"/>
            <a:graphic>
              <a:graphicData uri="http://schemas.openxmlformats.org/drawingml/2006/picture">
                <pic:pic>
                  <pic:nvPicPr>
                    <pic:cNvPr descr="Grossmont College Logo" id="0" name="image1.png"/>
                    <pic:cNvPicPr preferRelativeResize="0"/>
                  </pic:nvPicPr>
                  <pic:blipFill>
                    <a:blip r:embed="rId7"/>
                    <a:srcRect b="0" l="0" r="0" t="0"/>
                    <a:stretch>
                      <a:fillRect/>
                    </a:stretch>
                  </pic:blipFill>
                  <pic:spPr>
                    <a:xfrm>
                      <a:off x="0" y="0"/>
                      <a:ext cx="5943600" cy="127000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4">
      <w:pPr>
        <w:widowControl w:val="0"/>
        <w:jc w:val="left"/>
        <w:rPr/>
      </w:pPr>
      <w:r w:rsidDel="00000000" w:rsidR="00000000" w:rsidRPr="00000000">
        <w:rPr>
          <w:rtl w:val="0"/>
        </w:rPr>
      </w:r>
    </w:p>
    <w:p w:rsidR="00000000" w:rsidDel="00000000" w:rsidP="00000000" w:rsidRDefault="00000000" w:rsidRPr="00000000" w14:paraId="00000005">
      <w:pPr>
        <w:spacing w:after="160" w:lineRule="auto"/>
        <w:jc w:val="center"/>
        <w:rPr/>
      </w:pPr>
      <w:r w:rsidDel="00000000" w:rsidR="00000000" w:rsidRPr="00000000">
        <w:rPr>
          <w:rFonts w:ascii="Calibri" w:cs="Calibri" w:eastAsia="Calibri" w:hAnsi="Calibri"/>
          <w:b w:val="1"/>
          <w:bCs w:val="1"/>
          <w:i w:val="1"/>
          <w:iCs w:val="1"/>
          <w:color w:val="38761d"/>
          <w:sz w:val="20"/>
          <w:szCs w:val="20"/>
        </w:rPr>
        <w:drawing>
          <wp:inline distB="114300" distT="114300" distL="114300" distR="114300">
            <wp:extent cx="1238250" cy="1648558"/>
            <wp:effectExtent b="0" l="0" r="0" t="0"/>
            <wp:docPr descr="Grossmont College Academic Senate, 10+1 which illustrates the senates academic and professional matters." id="8" name="image2.jpg"/>
            <a:graphic>
              <a:graphicData uri="http://schemas.openxmlformats.org/drawingml/2006/picture">
                <pic:pic>
                  <pic:nvPicPr>
                    <pic:cNvPr descr="Grossmont College Academic Senate, 10+1 which illustrates the senates academic and professional matters." id="0" name="image2.jpg"/>
                    <pic:cNvPicPr preferRelativeResize="0"/>
                  </pic:nvPicPr>
                  <pic:blipFill>
                    <a:blip r:embed="rId8"/>
                    <a:srcRect b="0" l="0" r="0" t="0"/>
                    <a:stretch>
                      <a:fillRect/>
                    </a:stretch>
                  </pic:blipFill>
                  <pic:spPr>
                    <a:xfrm>
                      <a:off x="0" y="0"/>
                      <a:ext cx="1238250" cy="1648558"/>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widowControl w:val="0"/>
        <w:jc w:val="center"/>
        <w:rPr/>
      </w:pPr>
      <w:r w:rsidDel="00000000" w:rsidR="00000000" w:rsidRPr="00000000">
        <w:rPr>
          <w:rtl w:val="0"/>
        </w:rPr>
      </w:r>
    </w:p>
    <w:tbl>
      <w:tblPr>
        <w:tblStyle w:val="Table1"/>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65"/>
        <w:gridCol w:w="8185"/>
        <w:tblGridChange w:id="0">
          <w:tblGrid>
            <w:gridCol w:w="1165"/>
            <w:gridCol w:w="8185"/>
          </w:tblGrid>
        </w:tblGridChange>
      </w:tblGrid>
      <w:tr>
        <w:trPr>
          <w:cantSplit w:val="0"/>
          <w:tblHeader w:val="0"/>
        </w:trPr>
        <w:tc>
          <w:tcPr>
            <w:gridSpan w:val="2"/>
            <w:shd w:fill="f8f9fa" w:val="clear"/>
          </w:tcPr>
          <w:p w:rsidR="00000000" w:rsidDel="00000000" w:rsidP="00000000" w:rsidRDefault="00000000" w:rsidRPr="00000000" w14:paraId="00000007">
            <w:pPr>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 Meeting Minutes of the Academic Senate</w:t>
            </w:r>
          </w:p>
        </w:tc>
      </w:tr>
      <w:tr>
        <w:trPr>
          <w:cantSplit w:val="0"/>
          <w:tblHeader w:val="0"/>
        </w:trPr>
        <w:tc>
          <w:tcPr>
            <w:gridSpan w:val="2"/>
            <w:shd w:fill="f8f9fa" w:val="clear"/>
          </w:tcPr>
          <w:p w:rsidR="00000000" w:rsidDel="00000000" w:rsidP="00000000" w:rsidRDefault="00000000" w:rsidRPr="00000000" w14:paraId="00000009">
            <w:pPr>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Grossmont College</w:t>
            </w:r>
          </w:p>
        </w:tc>
      </w:tr>
      <w:tr>
        <w:trPr>
          <w:cantSplit w:val="0"/>
          <w:tblHeader w:val="0"/>
        </w:trPr>
        <w:tc>
          <w:tcPr>
            <w:gridSpan w:val="2"/>
            <w:shd w:fill="f8f9fa" w:val="clear"/>
          </w:tcPr>
          <w:p w:rsidR="00000000" w:rsidDel="00000000" w:rsidP="00000000" w:rsidRDefault="00000000" w:rsidRPr="00000000" w14:paraId="0000000B">
            <w:pPr>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September 21, 2026</w:t>
            </w:r>
          </w:p>
        </w:tc>
      </w:tr>
      <w:tr>
        <w:trPr>
          <w:cantSplit w:val="0"/>
          <w:tblHeader w:val="0"/>
        </w:trPr>
        <w:tc>
          <w:tcPr>
            <w:gridSpan w:val="2"/>
          </w:tcPr>
          <w:p w:rsidR="00000000" w:rsidDel="00000000" w:rsidP="00000000" w:rsidRDefault="00000000" w:rsidRPr="00000000" w14:paraId="0000000D">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11:00 am-12:20 pm</w:t>
            </w:r>
          </w:p>
        </w:tc>
      </w:tr>
      <w:tr>
        <w:trPr>
          <w:cantSplit w:val="0"/>
          <w:tblHeader w:val="0"/>
        </w:trPr>
        <w:tc>
          <w:tcPr>
            <w:gridSpan w:val="2"/>
          </w:tcPr>
          <w:p w:rsidR="00000000" w:rsidDel="00000000" w:rsidP="00000000" w:rsidRDefault="00000000" w:rsidRPr="00000000" w14:paraId="0000000F">
            <w:pPr>
              <w:spacing w:after="200" w:line="276" w:lineRule="auto"/>
              <w:jc w:val="center"/>
              <w:rPr>
                <w:rFonts w:ascii="Calibri" w:cs="Calibri" w:eastAsia="Calibri" w:hAnsi="Calibri"/>
                <w:b w:val="1"/>
                <w:bCs w:val="1"/>
                <w:color w:val="47802e"/>
                <w:sz w:val="24"/>
                <w:szCs w:val="24"/>
              </w:rPr>
            </w:pPr>
            <w:hyperlink r:id="rId9">
              <w:r w:rsidDel="00000000" w:rsidR="00000000" w:rsidRPr="00000000">
                <w:rPr>
                  <w:rFonts w:ascii="Calibri" w:cs="Calibri" w:eastAsia="Calibri" w:hAnsi="Calibri"/>
                  <w:b w:val="1"/>
                  <w:bCs w:val="1"/>
                  <w:color w:val="47802e"/>
                  <w:sz w:val="24"/>
                  <w:szCs w:val="24"/>
                  <w:u w:val="single"/>
                  <w:rtl w:val="0"/>
                </w:rPr>
                <w:t xml:space="preserve">ATTACHMENTS</w:t>
              </w:r>
            </w:hyperlink>
            <w:r w:rsidDel="00000000" w:rsidR="00000000" w:rsidRPr="00000000">
              <w:rPr>
                <w:rtl w:val="0"/>
              </w:rPr>
            </w:r>
          </w:p>
        </w:tc>
      </w:tr>
      <w:tr>
        <w:trPr>
          <w:cantSplit w:val="0"/>
          <w:tblHeader w:val="0"/>
        </w:trPr>
        <w:tc>
          <w:tcPr/>
          <w:p w:rsidR="00000000" w:rsidDel="00000000" w:rsidP="00000000" w:rsidRDefault="00000000" w:rsidRPr="00000000" w14:paraId="00000011">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w:t>
            </w:r>
          </w:p>
        </w:tc>
        <w:tc>
          <w:tcPr/>
          <w:p w:rsidR="00000000" w:rsidDel="00000000" w:rsidP="00000000" w:rsidRDefault="00000000" w:rsidRPr="00000000" w14:paraId="00000012">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Call to Order: 11:10 am </w:t>
            </w:r>
          </w:p>
        </w:tc>
      </w:tr>
      <w:tr>
        <w:trPr>
          <w:cantSplit w:val="0"/>
          <w:tblHeader w:val="0"/>
        </w:trPr>
        <w:tc>
          <w:tcPr/>
          <w:p w:rsidR="00000000" w:rsidDel="00000000" w:rsidP="00000000" w:rsidRDefault="00000000" w:rsidRPr="00000000" w14:paraId="00000013">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w:t>
            </w:r>
          </w:p>
        </w:tc>
        <w:tc>
          <w:tcPr/>
          <w:p w:rsidR="00000000" w:rsidDel="00000000" w:rsidP="00000000" w:rsidRDefault="00000000" w:rsidRPr="00000000" w14:paraId="00000014">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Public Comment:</w:t>
            </w:r>
          </w:p>
          <w:p w:rsidR="00000000" w:rsidDel="00000000" w:rsidP="00000000" w:rsidRDefault="00000000" w:rsidRPr="00000000" w14:paraId="00000015">
            <w:pPr>
              <w:rPr>
                <w:rFonts w:ascii="Calibri" w:cs="Calibri" w:eastAsia="Calibri" w:hAnsi="Calibri"/>
                <w:b w:val="1"/>
                <w:bCs w:val="1"/>
                <w:sz w:val="24"/>
                <w:szCs w:val="24"/>
              </w:rPr>
            </w:pPr>
            <w:r w:rsidDel="00000000" w:rsidR="00000000" w:rsidRPr="00000000">
              <w:rPr>
                <w:rFonts w:ascii="Calibri" w:cs="Calibri" w:eastAsia="Calibri" w:hAnsi="Calibri"/>
                <w:b w:val="1"/>
                <w:bCs w:val="1"/>
                <w:i w:val="1"/>
                <w:iCs w:val="1"/>
                <w:sz w:val="24"/>
                <w:szCs w:val="24"/>
                <w:rtl w:val="0"/>
              </w:rPr>
              <w:t xml:space="preserve">J. Martin (Martin): </w:t>
            </w:r>
            <w:r w:rsidDel="00000000" w:rsidR="00000000" w:rsidRPr="00000000">
              <w:rPr>
                <w:rFonts w:ascii="Calibri" w:cs="Calibri" w:eastAsia="Calibri" w:hAnsi="Calibri"/>
                <w:b w:val="1"/>
                <w:bCs w:val="1"/>
                <w:sz w:val="24"/>
                <w:szCs w:val="24"/>
                <w:rtl w:val="0"/>
              </w:rPr>
              <w:t xml:space="preserve">Affordable Food Options on Campus</w:t>
            </w:r>
          </w:p>
          <w:p w:rsidR="00000000" w:rsidDel="00000000" w:rsidP="00000000" w:rsidRDefault="00000000" w:rsidRPr="00000000" w14:paraId="00000016">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Martin raised concerns about the availability, affordability, and long-term sustainability of food options for students on campus. He acknowledged that food trucks provided a convenient option and contributed positively to the campus environment but were questioned whether they represented a sustainable solution to students’ everyday food needs.</w:t>
            </w:r>
          </w:p>
          <w:p w:rsidR="00000000" w:rsidDel="00000000" w:rsidP="00000000" w:rsidRDefault="00000000" w:rsidRPr="00000000" w14:paraId="00000017">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central concern was cost. Martin noted that meals from food trucks could cost about $16, which they believed was beyond what many students could reasonably afford regularly. They argued that campus food should be priced closer to </w:t>
            </w:r>
            <m:oMath>
              <m:r>
                <w:rPr>
                  <w:rFonts w:ascii="Calibri" w:cs="Calibri" w:eastAsia="Calibri" w:hAnsi="Calibri"/>
                  <w:b w:val="1"/>
                  <w:bCs w:val="1"/>
                  <w:sz w:val="24"/>
                  <w:szCs w:val="24"/>
                </w:rPr>
                <m:t xml:space="preserve">5–</m:t>
              </m:r>
            </m:oMath>
            <w:r w:rsidDel="00000000" w:rsidR="00000000" w:rsidRPr="00000000">
              <w:rPr>
                <w:rFonts w:ascii="Calibri" w:cs="Calibri" w:eastAsia="Calibri" w:hAnsi="Calibri"/>
                <w:sz w:val="24"/>
                <w:szCs w:val="24"/>
                <w:rtl w:val="0"/>
              </w:rPr>
              <w:t xml:space="preserve">$ 7 per meal, making it a realistic daily option rather than something students bought only when they were hungry and had no alternative. J. Martin emphasized that students should not have to choose between remaining hungry and spending money they could not comfortably afford.</w:t>
            </w:r>
          </w:p>
          <w:p w:rsidR="00000000" w:rsidDel="00000000" w:rsidP="00000000" w:rsidRDefault="00000000" w:rsidRPr="00000000" w14:paraId="00000018">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Martin maintained that meals could be provided at substantially lower costs. He cited grocery stores such as WINCO that offered complete prepared meals within the </w:t>
            </w:r>
            <m:oMath>
              <m:r>
                <w:rPr>
                  <w:rFonts w:ascii="Calibri" w:cs="Calibri" w:eastAsia="Calibri" w:hAnsi="Calibri"/>
                  <w:sz w:val="24"/>
                  <w:szCs w:val="24"/>
                </w:rPr>
                <m:t xml:space="preserve">$5–</m:t>
              </m:r>
            </m:oMath>
            <w:r w:rsidDel="00000000" w:rsidR="00000000" w:rsidRPr="00000000">
              <w:rPr>
                <w:rFonts w:ascii="Calibri" w:cs="Calibri" w:eastAsia="Calibri" w:hAnsi="Calibri"/>
                <w:sz w:val="24"/>
                <w:szCs w:val="24"/>
                <w:rtl w:val="0"/>
              </w:rPr>
              <w:t xml:space="preserve">$7 range as an example of what might be possible. Rather than relying exclusively on traditional food-service vendors or food trucks that understandably needed to generate a profit, J. Martin encouraged the college to explore models focused primarily on meeting student needs rather than generating revenue.</w:t>
            </w:r>
          </w:p>
          <w:p w:rsidR="00000000" w:rsidDel="00000000" w:rsidP="00000000" w:rsidRDefault="00000000" w:rsidRPr="00000000" w14:paraId="00000019">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Martin suggested several possible alternatives, including partnering with a grocery store or another food provider to purchase prepared meals that could be heated and distributed on campus. They also acknowledged previous discussions about potentially involving the Culinary Arts program, while recognizing that relying on Culinary Arts students might present challenges, as students had academic responsibilities and many were already employed. The broader point was that the college should explore multiple operational models rather than assuming existing food-service approaches were the only viable options.</w:t>
            </w:r>
          </w:p>
          <w:p w:rsidR="00000000" w:rsidDel="00000000" w:rsidP="00000000" w:rsidRDefault="00000000" w:rsidRPr="00000000" w14:paraId="0000001A">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Martin connected access to affordable food directly to student retention, engagement, and academic success. He argued that hungry students would have greater difficulty concentrating and succeeding academically. Providing affordable meals could also encourage students to remain on campus between classes rather than leaving to find food, thereby supporting greater connection and engagement with the college community.</w:t>
            </w:r>
          </w:p>
          <w:p w:rsidR="00000000" w:rsidDel="00000000" w:rsidP="00000000" w:rsidRDefault="00000000" w:rsidRPr="00000000" w14:paraId="0000001B">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Martin expressed urgency about moving beyond continued discussion and toward implementation. They indicated that campus food access had been discussed for some time and encouraged faculty and other constituent groups to use their collective voices to advocate for administrative action. J. Martin urged the institution to prioritize establishing an affordable and sustainable campus food solution as soon as possible.</w:t>
            </w:r>
          </w:p>
          <w:p w:rsidR="00000000" w:rsidDel="00000000" w:rsidP="00000000" w:rsidRDefault="00000000" w:rsidRPr="00000000" w14:paraId="0000001C">
            <w:pPr>
              <w:pStyle w:val="Heading3"/>
              <w:keepNext w:val="0"/>
              <w:keepLines w:val="0"/>
              <w:spacing w:before="280" w:lineRule="auto"/>
              <w:rPr>
                <w:rFonts w:ascii="Calibri" w:cs="Calibri" w:eastAsia="Calibri" w:hAnsi="Calibri"/>
                <w:b w:val="1"/>
                <w:bCs w:val="1"/>
                <w:color w:val="000000"/>
                <w:sz w:val="26"/>
                <w:szCs w:val="26"/>
              </w:rPr>
            </w:pPr>
            <w:bookmarkStart w:colFirst="0" w:colLast="0" w:name="_heading=h.1g4fd4nrec10" w:id="0"/>
            <w:bookmarkEnd w:id="0"/>
            <w:r w:rsidDel="00000000" w:rsidR="00000000" w:rsidRPr="00000000">
              <w:rPr>
                <w:rFonts w:ascii="Calibri" w:cs="Calibri" w:eastAsia="Calibri" w:hAnsi="Calibri"/>
                <w:b w:val="1"/>
                <w:bCs w:val="1"/>
                <w:color w:val="000000"/>
                <w:sz w:val="26"/>
                <w:szCs w:val="26"/>
                <w:rtl w:val="0"/>
              </w:rPr>
              <w:t xml:space="preserve">Takeaways for Faculty and Constituent Discussion</w:t>
            </w:r>
          </w:p>
          <w:p w:rsidR="00000000" w:rsidDel="00000000" w:rsidP="00000000" w:rsidRDefault="00000000" w:rsidRPr="00000000" w14:paraId="0000001D">
            <w:pPr>
              <w:numPr>
                <w:ilvl w:val="0"/>
                <w:numId w:val="4"/>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Affordability as the central issue</w:t>
            </w:r>
            <w:r w:rsidDel="00000000" w:rsidR="00000000" w:rsidRPr="00000000">
              <w:rPr>
                <w:rtl w:val="0"/>
              </w:rPr>
            </w:r>
          </w:p>
          <w:p w:rsidR="00000000" w:rsidDel="00000000" w:rsidP="00000000" w:rsidRDefault="00000000" w:rsidRPr="00000000" w14:paraId="0000001E">
            <w:pPr>
              <w:numPr>
                <w:ilvl w:val="0"/>
                <w:numId w:val="4"/>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Food access as a student-success issue:</w:t>
            </w:r>
            <w:r w:rsidDel="00000000" w:rsidR="00000000" w:rsidRPr="00000000">
              <w:rPr>
                <w:rtl w:val="0"/>
              </w:rPr>
            </w:r>
          </w:p>
          <w:p w:rsidR="00000000" w:rsidDel="00000000" w:rsidP="00000000" w:rsidRDefault="00000000" w:rsidRPr="00000000" w14:paraId="0000001F">
            <w:pPr>
              <w:numPr>
                <w:ilvl w:val="0"/>
                <w:numId w:val="4"/>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Current food-service gaps</w:t>
            </w:r>
            <w:r w:rsidDel="00000000" w:rsidR="00000000" w:rsidRPr="00000000">
              <w:rPr>
                <w:rtl w:val="0"/>
              </w:rPr>
            </w:r>
          </w:p>
          <w:p w:rsidR="00000000" w:rsidDel="00000000" w:rsidP="00000000" w:rsidRDefault="00000000" w:rsidRPr="00000000" w14:paraId="00000020">
            <w:pPr>
              <w:numPr>
                <w:ilvl w:val="0"/>
                <w:numId w:val="4"/>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Alternative operating models</w:t>
            </w:r>
          </w:p>
          <w:p w:rsidR="00000000" w:rsidDel="00000000" w:rsidP="00000000" w:rsidRDefault="00000000" w:rsidRPr="00000000" w14:paraId="00000021">
            <w:pPr>
              <w:numPr>
                <w:ilvl w:val="0"/>
                <w:numId w:val="4"/>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Role of existing campus programs</w:t>
            </w:r>
            <w:r w:rsidDel="00000000" w:rsidR="00000000" w:rsidRPr="00000000">
              <w:rPr>
                <w:rtl w:val="0"/>
              </w:rPr>
            </w:r>
          </w:p>
          <w:p w:rsidR="00000000" w:rsidDel="00000000" w:rsidP="00000000" w:rsidRDefault="00000000" w:rsidRPr="00000000" w14:paraId="00000022">
            <w:pPr>
              <w:numPr>
                <w:ilvl w:val="0"/>
                <w:numId w:val="4"/>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Equity considerations</w:t>
            </w:r>
            <w:r w:rsidDel="00000000" w:rsidR="00000000" w:rsidRPr="00000000">
              <w:rPr>
                <w:rtl w:val="0"/>
              </w:rPr>
            </w:r>
          </w:p>
          <w:p w:rsidR="00000000" w:rsidDel="00000000" w:rsidP="00000000" w:rsidRDefault="00000000" w:rsidRPr="00000000" w14:paraId="00000023">
            <w:pPr>
              <w:numPr>
                <w:ilvl w:val="0"/>
                <w:numId w:val="4"/>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Immediate versus long-term solutions:</w:t>
            </w:r>
            <w:r w:rsidDel="00000000" w:rsidR="00000000" w:rsidRPr="00000000">
              <w:rPr>
                <w:rFonts w:ascii="Calibri" w:cs="Calibri" w:eastAsia="Calibri" w:hAnsi="Calibri"/>
                <w:sz w:val="24"/>
                <w:szCs w:val="24"/>
                <w:rtl w:val="0"/>
              </w:rPr>
              <w:t xml:space="preserve"> The college could consider interim affordable options while simultaneously developing a sustainable permanent food-service plan.</w:t>
            </w:r>
          </w:p>
          <w:p w:rsidR="00000000" w:rsidDel="00000000" w:rsidP="00000000" w:rsidRDefault="00000000" w:rsidRPr="00000000" w14:paraId="00000024">
            <w:pPr>
              <w:numPr>
                <w:ilvl w:val="0"/>
                <w:numId w:val="4"/>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Accountability and timeline:</w:t>
            </w:r>
            <w:r w:rsidDel="00000000" w:rsidR="00000000" w:rsidRPr="00000000">
              <w:rPr>
                <w:rFonts w:ascii="Calibri" w:cs="Calibri" w:eastAsia="Calibri" w:hAnsi="Calibri"/>
                <w:sz w:val="24"/>
                <w:szCs w:val="24"/>
                <w:rtl w:val="0"/>
              </w:rPr>
              <w:t xml:space="preserve"> Given Martin's concern that the issue had remained unresolved, constituents could request clarity regarding who has responsibility for campus food services, what work is currently underway, what barriers remain, and what timeline exists for implementing a more sustainable solution</w:t>
            </w:r>
            <w:r w:rsidDel="00000000" w:rsidR="00000000" w:rsidRPr="00000000">
              <w:rPr>
                <w:rFonts w:ascii="Calibri" w:cs="Calibri" w:eastAsia="Calibri" w:hAnsi="Calibri"/>
                <w:b w:val="1"/>
                <w:bCs w:val="1"/>
                <w:sz w:val="24"/>
                <w:szCs w:val="24"/>
                <w:rtl w:val="0"/>
              </w:rPr>
              <w:t xml:space="preserve">.</w:t>
            </w:r>
          </w:p>
          <w:p w:rsidR="00000000" w:rsidDel="00000000" w:rsidP="00000000" w:rsidRDefault="00000000" w:rsidRPr="00000000" w14:paraId="00000025">
            <w:pPr>
              <w:numPr>
                <w:ilvl w:val="0"/>
                <w:numId w:val="4"/>
              </w:numPr>
              <w:spacing w:after="24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Faculty advocacy:</w:t>
            </w:r>
            <w:r w:rsidDel="00000000" w:rsidR="00000000" w:rsidRPr="00000000">
              <w:rPr>
                <w:rFonts w:ascii="Calibri" w:cs="Calibri" w:eastAsia="Calibri" w:hAnsi="Calibri"/>
                <w:sz w:val="24"/>
                <w:szCs w:val="24"/>
                <w:rtl w:val="0"/>
              </w:rPr>
              <w:t xml:space="preserve"> Senators could bring constituent feedback back to the Senate and determine whether additional discussion with administration, Student Services, Facilities, Business Services, student government, or other appropriate groups was warranted.</w:t>
            </w:r>
          </w:p>
          <w:p w:rsidR="00000000" w:rsidDel="00000000" w:rsidP="00000000" w:rsidRDefault="00000000" w:rsidRPr="00000000" w14:paraId="00000026">
            <w:pPr>
              <w:spacing w:after="300" w:before="300" w:lineRule="auto"/>
              <w:rPr>
                <w:rFonts w:ascii="Calibri" w:cs="Calibri" w:eastAsia="Calibri" w:hAnsi="Calibri"/>
                <w:b w:val="1"/>
                <w:bCs w:val="1"/>
                <w:sz w:val="26"/>
                <w:szCs w:val="26"/>
              </w:rPr>
            </w:pPr>
            <w:r w:rsidDel="00000000" w:rsidR="00000000" w:rsidRPr="00000000">
              <w:rPr>
                <w:rFonts w:ascii="Calibri" w:cs="Calibri" w:eastAsia="Calibri" w:hAnsi="Calibri"/>
                <w:b w:val="1"/>
                <w:bCs w:val="1"/>
                <w:sz w:val="24"/>
                <w:szCs w:val="24"/>
                <w:rtl w:val="0"/>
              </w:rPr>
              <w:t xml:space="preserve">Dr. P. Lopez (</w:t>
            </w:r>
            <w:r w:rsidDel="00000000" w:rsidR="00000000" w:rsidRPr="00000000">
              <w:rPr>
                <w:rFonts w:ascii="Calibri" w:cs="Calibri" w:eastAsia="Calibri" w:hAnsi="Calibri"/>
                <w:sz w:val="24"/>
                <w:szCs w:val="24"/>
                <w:rtl w:val="0"/>
              </w:rPr>
              <w:t xml:space="preserve">Dr. Lopez)</w:t>
            </w:r>
            <w:r w:rsidDel="00000000" w:rsidR="00000000" w:rsidRPr="00000000">
              <w:rPr>
                <w:rFonts w:ascii="Calibri" w:cs="Calibri" w:eastAsia="Calibri" w:hAnsi="Calibri"/>
                <w:b w:val="1"/>
                <w:bCs w:val="1"/>
                <w:sz w:val="24"/>
                <w:szCs w:val="24"/>
                <w:rtl w:val="0"/>
              </w:rPr>
              <w:t xml:space="preserve">: </w:t>
            </w:r>
            <w:r w:rsidDel="00000000" w:rsidR="00000000" w:rsidRPr="00000000">
              <w:rPr>
                <w:rtl w:val="0"/>
              </w:rPr>
            </w:r>
          </w:p>
          <w:p w:rsidR="00000000" w:rsidDel="00000000" w:rsidP="00000000" w:rsidRDefault="00000000" w:rsidRPr="00000000" w14:paraId="00000027">
            <w:pPr>
              <w:spacing w:after="300" w:before="3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Dr. Lopez provided updates on two student-focused initiatives. First, Dr. Lopez shared efforts to reinstate Grossmont College’s Phi Theta Kappa (PTK) chapter, an international honor society for community college students. They had volunteered to serve as the faculty advisor and were working through the reinstatement process, with support from the college president and the possibility of establishing reassigned time for future faculty leadership. Student invitations were expected to be distributed after the required student information/privacy process was completed. Dr. Lopez invited faculty to direct interested students to her and she welcomes any colleagues interested in supporting the initiative.</w:t>
            </w:r>
          </w:p>
          <w:p w:rsidR="00000000" w:rsidDel="00000000" w:rsidP="00000000" w:rsidRDefault="00000000" w:rsidRPr="00000000" w14:paraId="00000028">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Second, Dr. Lopez discussed exploring a law school preparation pathway/program modeled after one available at other community colleges, including Mesa College. The program would require students to complete designated courses and could potentially be structured as an academic pathway or degree. Because of current workload limitations, Dr. Lopez invited interested faculty to help research and potentially lead the initiative.</w:t>
            </w:r>
          </w:p>
          <w:p w:rsidR="00000000" w:rsidDel="00000000" w:rsidP="00000000" w:rsidRDefault="00000000" w:rsidRPr="00000000" w14:paraId="00000029">
            <w:pPr>
              <w:pStyle w:val="Heading3"/>
              <w:keepNext w:val="0"/>
              <w:keepLines w:val="0"/>
              <w:spacing w:before="280" w:lineRule="auto"/>
              <w:rPr>
                <w:rFonts w:ascii="Calibri" w:cs="Calibri" w:eastAsia="Calibri" w:hAnsi="Calibri"/>
                <w:color w:val="000000"/>
                <w:sz w:val="26"/>
                <w:szCs w:val="26"/>
              </w:rPr>
            </w:pPr>
            <w:bookmarkStart w:colFirst="0" w:colLast="0" w:name="_heading=h.tb2m0yx8dqtm" w:id="1"/>
            <w:bookmarkEnd w:id="1"/>
            <w:r w:rsidDel="00000000" w:rsidR="00000000" w:rsidRPr="00000000">
              <w:rPr>
                <w:rFonts w:ascii="Calibri" w:cs="Calibri" w:eastAsia="Calibri" w:hAnsi="Calibri"/>
                <w:color w:val="000000"/>
                <w:sz w:val="26"/>
                <w:szCs w:val="26"/>
                <w:rtl w:val="0"/>
              </w:rPr>
              <w:t xml:space="preserve">Takeaways for Faculty/Constituent Discussion</w:t>
            </w:r>
          </w:p>
          <w:p w:rsidR="00000000" w:rsidDel="00000000" w:rsidP="00000000" w:rsidRDefault="00000000" w:rsidRPr="00000000" w14:paraId="0000002A">
            <w:pPr>
              <w:numPr>
                <w:ilvl w:val="0"/>
                <w:numId w:val="5"/>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PTK reinstatement: Faculty should be aware that efforts were underway to restore the college’s Phi Theta Kappa chapter and consider how the Senate and faculty could support its long-term sustainability.</w:t>
            </w:r>
          </w:p>
          <w:p w:rsidR="00000000" w:rsidDel="00000000" w:rsidP="00000000" w:rsidRDefault="00000000" w:rsidRPr="00000000" w14:paraId="0000002B">
            <w:pPr>
              <w:numPr>
                <w:ilvl w:val="0"/>
                <w:numId w:val="5"/>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Faculty leadership and reassigned time: Constituents could discuss whether ongoing coordination of PTK and similar student-success initiatives warranted formal faculty leadership and reassigned time.</w:t>
            </w:r>
          </w:p>
          <w:p w:rsidR="00000000" w:rsidDel="00000000" w:rsidP="00000000" w:rsidRDefault="00000000" w:rsidRPr="00000000" w14:paraId="0000002C">
            <w:pPr>
              <w:numPr>
                <w:ilvl w:val="0"/>
                <w:numId w:val="5"/>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Student awareness and referrals: Faculty could help identify and direct eligible or interested students once the PTK invitation and enrollment process was formally launched.</w:t>
            </w:r>
          </w:p>
          <w:p w:rsidR="00000000" w:rsidDel="00000000" w:rsidP="00000000" w:rsidRDefault="00000000" w:rsidRPr="00000000" w14:paraId="0000002D">
            <w:pPr>
              <w:numPr>
                <w:ilvl w:val="0"/>
                <w:numId w:val="5"/>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Law school pathway: Faculty could consider the potential value and feasibility of establishing a structured law school preparation pathway, including which disciplines and departments would need to participate.</w:t>
            </w:r>
          </w:p>
          <w:p w:rsidR="00000000" w:rsidDel="00000000" w:rsidP="00000000" w:rsidRDefault="00000000" w:rsidRPr="00000000" w14:paraId="0000002E">
            <w:pPr>
              <w:numPr>
                <w:ilvl w:val="0"/>
                <w:numId w:val="5"/>
              </w:numPr>
              <w:spacing w:after="0" w:afterAutospacing="0" w:before="0" w:beforeAutospacing="0" w:lineRule="auto"/>
              <w:ind w:left="720" w:hanging="360"/>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Curriculum and governance: Any proposed pathway or degree would require appropriate faculty-led curriculum development and review through established college processes.</w:t>
            </w:r>
          </w:p>
          <w:p w:rsidR="00000000" w:rsidDel="00000000" w:rsidP="00000000" w:rsidRDefault="00000000" w:rsidRPr="00000000" w14:paraId="0000002F">
            <w:pPr>
              <w:numPr>
                <w:ilvl w:val="0"/>
                <w:numId w:val="5"/>
              </w:numPr>
              <w:spacing w:after="24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Faculty participation: Interested faculty could consider volunteering to research or lead the law school preparation initiative, particularly given the current coordinator’s limited capacity.</w:t>
            </w:r>
            <w:r w:rsidDel="00000000" w:rsidR="00000000" w:rsidRPr="00000000">
              <w:rPr>
                <w:rtl w:val="0"/>
              </w:rPr>
            </w:r>
          </w:p>
          <w:p w:rsidR="00000000" w:rsidDel="00000000" w:rsidP="00000000" w:rsidRDefault="00000000" w:rsidRPr="00000000" w14:paraId="00000030">
            <w:pPr>
              <w:shd w:fill="ffffff" w:val="clea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J. Gettings (</w:t>
            </w:r>
            <w:r w:rsidDel="00000000" w:rsidR="00000000" w:rsidRPr="00000000">
              <w:rPr>
                <w:rFonts w:ascii="Calibri" w:cs="Calibri" w:eastAsia="Calibri" w:hAnsi="Calibri"/>
                <w:sz w:val="24"/>
                <w:szCs w:val="24"/>
                <w:rtl w:val="0"/>
              </w:rPr>
              <w:t xml:space="preserve">Gettings)</w:t>
            </w:r>
            <w:r w:rsidDel="00000000" w:rsidR="00000000" w:rsidRPr="00000000">
              <w:rPr>
                <w:rFonts w:ascii="Calibri" w:cs="Calibri" w:eastAsia="Calibri" w:hAnsi="Calibri"/>
                <w:b w:val="1"/>
                <w:bCs w:val="1"/>
                <w:sz w:val="24"/>
                <w:szCs w:val="24"/>
                <w:rtl w:val="0"/>
              </w:rPr>
              <w:t xml:space="preserve">:</w:t>
            </w:r>
            <w:r w:rsidDel="00000000" w:rsidR="00000000" w:rsidRPr="00000000">
              <w:rPr>
                <w:rFonts w:ascii="Calibri" w:cs="Calibri" w:eastAsia="Calibri" w:hAnsi="Calibri"/>
                <w:sz w:val="24"/>
                <w:szCs w:val="24"/>
                <w:rtl w:val="0"/>
              </w:rPr>
              <w:t xml:space="preserve"> Conflict of Interest</w:t>
            </w:r>
          </w:p>
          <w:p w:rsidR="00000000" w:rsidDel="00000000" w:rsidP="00000000" w:rsidRDefault="00000000" w:rsidRPr="00000000" w14:paraId="00000031">
            <w:pPr>
              <w:shd w:fill="ffffff" w:val="clea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Gettings raised concerns regarding a recent communication about employee conflict of interest and outside employment, particularly as it applied to faculty who continued to work professionally within the industries they taught.</w:t>
            </w:r>
          </w:p>
          <w:p w:rsidR="00000000" w:rsidDel="00000000" w:rsidP="00000000" w:rsidRDefault="00000000" w:rsidRPr="00000000" w14:paraId="00000032">
            <w:pPr>
              <w:shd w:fill="ffffff" w:val="clea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Gettings emphasized the distinctive workforce-development mission of community colleges, noting that many students entered employment immediately after completing their programs. From this perspective, faculty members who remained active professionals in their disciplines brought significant value to students by maintaining current industry knowledge, expanding their professional skills, and developing networks that could translate into employment and experiential learning opportunities for students.</w:t>
            </w:r>
          </w:p>
          <w:p w:rsidR="00000000" w:rsidDel="00000000" w:rsidP="00000000" w:rsidRDefault="00000000" w:rsidRPr="00000000" w14:paraId="00000033">
            <w:pPr>
              <w:shd w:fill="ffffff" w:val="clea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Drawing from her experience as a Theatre faculty member and working theatrical costume designer, Gettings challenged the implication that accepting outside professional work demonstrated a lack of commitment to the college or students. She explained that outside professional experiences directly informed faculty’s teaching which ultimately provide students with access to opportunities that might otherwise be unavailable. Examples included bringing students to professional dress rehearsals, facilitating conversations with directors and producers, employing students as assistants on professional projects, and connecting students with industry professionals and potential employers. Gettings highlighted the example of a student who, before graduating, had secured an opportunity to design a professional production an opportunity Gettings characterized as uncommon for someone who had not yet completed an associate degree or advanced professional training.</w:t>
            </w:r>
          </w:p>
          <w:p w:rsidR="00000000" w:rsidDel="00000000" w:rsidP="00000000" w:rsidRDefault="00000000" w:rsidRPr="00000000" w14:paraId="00000034">
            <w:pPr>
              <w:shd w:fill="ffffff" w:val="clea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Gettings also questioned the college or district’s role in determining how faculty used personal leave without pay, particularly when faculty had made arrangements to ensure instructional continuity. She explained that when taking leave, they provided detailed instructional plans and arranged for a substitute so students did not lose instructional time. Gettings questioned why the purpose of an unpaid leave day should be scrutinized differently depending on whether the employee used the time for professional work, a conference, personal enrichment, or another personal purpose.</w:t>
            </w:r>
          </w:p>
          <w:p w:rsidR="00000000" w:rsidDel="00000000" w:rsidP="00000000" w:rsidRDefault="00000000" w:rsidRPr="00000000" w14:paraId="00000035">
            <w:pPr>
              <w:shd w:fill="ffffff" w:val="clea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Gettings further described concerns involving an adjunct faculty member seeking two days of leave to work with a major national entertainment company. According to Gettings, a faculty colleague had encountered resistance because the leave would be used for outside employment. Gettings argued that this professional relationship could benefit students by strengthening connections with an employer that offered potential career opportunities. They noted that connections had already been made between the company and college career services and emphasized that faculty professional networks could help distinguish students in competitive employment environments.</w:t>
            </w:r>
          </w:p>
          <w:p w:rsidR="00000000" w:rsidDel="00000000" w:rsidP="00000000" w:rsidRDefault="00000000" w:rsidRPr="00000000" w14:paraId="00000036">
            <w:pPr>
              <w:shd w:fill="ffffff" w:val="clea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Gettings concluded by requesting a review of the applicable conflict-of-interest/outside employment policy and greater clarity regarding the formal pathway through which faculty could raise concerns and seek policy changes. As a new department chair, Gettings indicated that they had already raised the issue within their division but were uncertain about the appropriate next steps for advancing the concern institutionally.</w:t>
            </w:r>
          </w:p>
          <w:p w:rsidR="00000000" w:rsidDel="00000000" w:rsidP="00000000" w:rsidRDefault="00000000" w:rsidRPr="00000000" w14:paraId="00000037">
            <w:pPr>
              <w:pStyle w:val="Heading3"/>
              <w:keepNext w:val="0"/>
              <w:keepLines w:val="0"/>
              <w:shd w:fill="ffffff" w:val="clear"/>
              <w:spacing w:before="280" w:lineRule="auto"/>
              <w:rPr>
                <w:rFonts w:ascii="Calibri" w:cs="Calibri" w:eastAsia="Calibri" w:hAnsi="Calibri"/>
                <w:b w:val="1"/>
                <w:bCs w:val="1"/>
                <w:color w:val="000000"/>
                <w:sz w:val="26"/>
                <w:szCs w:val="26"/>
              </w:rPr>
            </w:pPr>
            <w:bookmarkStart w:colFirst="0" w:colLast="0" w:name="_heading=h.8b052hnlwnfl" w:id="2"/>
            <w:bookmarkEnd w:id="2"/>
            <w:r w:rsidDel="00000000" w:rsidR="00000000" w:rsidRPr="00000000">
              <w:rPr>
                <w:rFonts w:ascii="Calibri" w:cs="Calibri" w:eastAsia="Calibri" w:hAnsi="Calibri"/>
                <w:b w:val="1"/>
                <w:bCs w:val="1"/>
                <w:color w:val="000000"/>
                <w:sz w:val="26"/>
                <w:szCs w:val="26"/>
                <w:rtl w:val="0"/>
              </w:rPr>
              <w:t xml:space="preserve">Takeaways for Faculty and Constituent Discussion</w:t>
            </w:r>
          </w:p>
          <w:p w:rsidR="00000000" w:rsidDel="00000000" w:rsidP="00000000" w:rsidRDefault="00000000" w:rsidRPr="00000000" w14:paraId="00000038">
            <w:pPr>
              <w:numPr>
                <w:ilvl w:val="0"/>
                <w:numId w:val="3"/>
              </w:numPr>
              <w:shd w:fill="ffffff" w:val="clea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Clarify the policy and its scope</w:t>
            </w:r>
          </w:p>
          <w:p w:rsidR="00000000" w:rsidDel="00000000" w:rsidP="00000000" w:rsidRDefault="00000000" w:rsidRPr="00000000" w14:paraId="00000039">
            <w:pPr>
              <w:numPr>
                <w:ilvl w:val="0"/>
                <w:numId w:val="3"/>
              </w:numPr>
              <w:shd w:fill="ffffff" w:val="clea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Distinguish outside employment from conflicts of interest</w:t>
            </w:r>
          </w:p>
          <w:p w:rsidR="00000000" w:rsidDel="00000000" w:rsidP="00000000" w:rsidRDefault="00000000" w:rsidRPr="00000000" w14:paraId="0000003A">
            <w:pPr>
              <w:numPr>
                <w:ilvl w:val="0"/>
                <w:numId w:val="3"/>
              </w:numPr>
              <w:shd w:fill="ffffff" w:val="clea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Recognize the instructional value of industry engagement</w:t>
            </w:r>
          </w:p>
          <w:p w:rsidR="00000000" w:rsidDel="00000000" w:rsidP="00000000" w:rsidRDefault="00000000" w:rsidRPr="00000000" w14:paraId="0000003B">
            <w:pPr>
              <w:numPr>
                <w:ilvl w:val="0"/>
                <w:numId w:val="3"/>
              </w:numPr>
              <w:shd w:fill="ffffff" w:val="clea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Examine implications for adjunct faculty</w:t>
            </w:r>
          </w:p>
          <w:p w:rsidR="00000000" w:rsidDel="00000000" w:rsidP="00000000" w:rsidRDefault="00000000" w:rsidRPr="00000000" w14:paraId="0000003C">
            <w:pPr>
              <w:numPr>
                <w:ilvl w:val="0"/>
                <w:numId w:val="3"/>
              </w:numPr>
              <w:shd w:fill="ffffff" w:val="clea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Review leave procedures.</w:t>
            </w:r>
          </w:p>
          <w:p w:rsidR="00000000" w:rsidDel="00000000" w:rsidP="00000000" w:rsidRDefault="00000000" w:rsidRPr="00000000" w14:paraId="0000003D">
            <w:pPr>
              <w:numPr>
                <w:ilvl w:val="0"/>
                <w:numId w:val="3"/>
              </w:numPr>
              <w:shd w:fill="ffffff" w:val="clea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Protect instructional continuity while addressing professional opportunities</w:t>
            </w:r>
          </w:p>
          <w:p w:rsidR="00000000" w:rsidDel="00000000" w:rsidP="00000000" w:rsidRDefault="00000000" w:rsidRPr="00000000" w14:paraId="0000003E">
            <w:pPr>
              <w:numPr>
                <w:ilvl w:val="0"/>
                <w:numId w:val="3"/>
              </w:numPr>
              <w:shd w:fill="ffffff" w:val="clea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Consider workforce and student-success implications</w:t>
            </w:r>
          </w:p>
          <w:p w:rsidR="00000000" w:rsidDel="00000000" w:rsidP="00000000" w:rsidRDefault="00000000" w:rsidRPr="00000000" w14:paraId="0000003F">
            <w:pPr>
              <w:numPr>
                <w:ilvl w:val="0"/>
                <w:numId w:val="3"/>
              </w:numPr>
              <w:shd w:fill="ffffff" w:val="clea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Identify the appropriate governance pathway</w:t>
            </w:r>
          </w:p>
          <w:p w:rsidR="00000000" w:rsidDel="00000000" w:rsidP="00000000" w:rsidRDefault="00000000" w:rsidRPr="00000000" w14:paraId="00000040">
            <w:pPr>
              <w:numPr>
                <w:ilvl w:val="0"/>
                <w:numId w:val="3"/>
              </w:numPr>
              <w:shd w:fill="ffffff" w:val="clea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Request transparency and consistency: </w:t>
            </w:r>
          </w:p>
          <w:p w:rsidR="00000000" w:rsidDel="00000000" w:rsidP="00000000" w:rsidRDefault="00000000" w:rsidRPr="00000000" w14:paraId="00000041">
            <w:pPr>
              <w:numPr>
                <w:ilvl w:val="0"/>
                <w:numId w:val="3"/>
              </w:numPr>
              <w:shd w:fill="ffffff" w:val="clear"/>
              <w:spacing w:after="24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Determine next steps collectively</w:t>
            </w:r>
            <w:r w:rsidDel="00000000" w:rsidR="00000000" w:rsidRPr="00000000">
              <w:rPr>
                <w:rFonts w:ascii="Calibri" w:cs="Calibri" w:eastAsia="Calibri" w:hAnsi="Calibri"/>
                <w:b w:val="1"/>
                <w:bCs w:val="1"/>
                <w:sz w:val="24"/>
                <w:szCs w:val="24"/>
                <w:rtl w:val="0"/>
              </w:rPr>
              <w:t xml:space="preserve">:</w:t>
            </w:r>
            <w:r w:rsidDel="00000000" w:rsidR="00000000" w:rsidRPr="00000000">
              <w:rPr>
                <w:rFonts w:ascii="Calibri" w:cs="Calibri" w:eastAsia="Calibri" w:hAnsi="Calibri"/>
                <w:sz w:val="24"/>
                <w:szCs w:val="24"/>
                <w:rtl w:val="0"/>
              </w:rPr>
              <w:t xml:space="preserve"> Senators could ask constituents whether others had encountered similar concerns and gather concrete examples. That feedback could help determine whether the matter warranted a formal request for clarification, policy review, consultation with the bargaining unit, or placement on a future Senate agenda for broader discussion.</w:t>
            </w:r>
          </w:p>
        </w:tc>
      </w:tr>
      <w:tr>
        <w:trPr>
          <w:cantSplit w:val="0"/>
          <w:tblHeader w:val="0"/>
        </w:trPr>
        <w:tc>
          <w:tcPr/>
          <w:p w:rsidR="00000000" w:rsidDel="00000000" w:rsidP="00000000" w:rsidRDefault="00000000" w:rsidRPr="00000000" w14:paraId="00000042">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w:t>
            </w:r>
          </w:p>
        </w:tc>
        <w:tc>
          <w:tcPr/>
          <w:p w:rsidR="00000000" w:rsidDel="00000000" w:rsidP="00000000" w:rsidRDefault="00000000" w:rsidRPr="00000000" w14:paraId="00000043">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Approval of minutes from August 31, 2026.</w:t>
            </w:r>
          </w:p>
          <w:p w:rsidR="00000000" w:rsidDel="00000000" w:rsidP="00000000" w:rsidRDefault="00000000" w:rsidRPr="00000000" w14:paraId="00000044">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VOTE</w:t>
            </w:r>
            <w:r w:rsidDel="00000000" w:rsidR="00000000" w:rsidRPr="00000000">
              <w:rPr>
                <w:rFonts w:ascii="Calibri" w:cs="Calibri" w:eastAsia="Calibri" w:hAnsi="Calibri"/>
                <w:b w:val="1"/>
                <w:bCs w:val="1"/>
                <w:color w:val="38761d"/>
                <w:sz w:val="24"/>
                <w:szCs w:val="24"/>
                <w:rtl w:val="0"/>
              </w:rPr>
              <w:t xml:space="preserve">:</w:t>
            </w:r>
            <w:r w:rsidDel="00000000" w:rsidR="00000000" w:rsidRPr="00000000">
              <w:rPr>
                <w:rFonts w:ascii="Calibri" w:cs="Calibri" w:eastAsia="Calibri" w:hAnsi="Calibri"/>
                <w:sz w:val="24"/>
                <w:szCs w:val="24"/>
                <w:rtl w:val="0"/>
              </w:rPr>
              <w:t xml:space="preserve">  Minutes approved with no objections</w:t>
            </w:r>
          </w:p>
          <w:p w:rsidR="00000000" w:rsidDel="00000000" w:rsidP="00000000" w:rsidRDefault="00000000" w:rsidRPr="00000000" w14:paraId="00000045">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Motion: J. VandenEynden/D. Aceves</w:t>
            </w:r>
          </w:p>
        </w:tc>
      </w:tr>
      <w:tr>
        <w:trPr>
          <w:cantSplit w:val="0"/>
          <w:tblHeader w:val="0"/>
        </w:trPr>
        <w:tc>
          <w:tcPr/>
          <w:p w:rsidR="00000000" w:rsidDel="00000000" w:rsidP="00000000" w:rsidRDefault="00000000" w:rsidRPr="00000000" w14:paraId="00000046">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4</w:t>
            </w:r>
          </w:p>
        </w:tc>
        <w:tc>
          <w:tcPr/>
          <w:p w:rsidR="00000000" w:rsidDel="00000000" w:rsidP="00000000" w:rsidRDefault="00000000" w:rsidRPr="00000000" w14:paraId="00000047">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Approval of Agenda</w:t>
            </w:r>
          </w:p>
          <w:p w:rsidR="00000000" w:rsidDel="00000000" w:rsidP="00000000" w:rsidRDefault="00000000" w:rsidRPr="00000000" w14:paraId="00000048">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VOTE</w:t>
            </w:r>
            <w:r w:rsidDel="00000000" w:rsidR="00000000" w:rsidRPr="00000000">
              <w:rPr>
                <w:rFonts w:ascii="Calibri" w:cs="Calibri" w:eastAsia="Calibri" w:hAnsi="Calibri"/>
                <w:b w:val="1"/>
                <w:bCs w:val="1"/>
                <w:color w:val="38761d"/>
                <w:sz w:val="24"/>
                <w:szCs w:val="24"/>
                <w:rtl w:val="0"/>
              </w:rPr>
              <w:t xml:space="preserve">:</w:t>
            </w:r>
            <w:r w:rsidDel="00000000" w:rsidR="00000000" w:rsidRPr="00000000">
              <w:rPr>
                <w:rFonts w:ascii="Calibri" w:cs="Calibri" w:eastAsia="Calibri" w:hAnsi="Calibri"/>
                <w:sz w:val="24"/>
                <w:szCs w:val="24"/>
                <w:rtl w:val="0"/>
              </w:rPr>
              <w:t xml:space="preserve"> Agenda approved with no objections</w:t>
            </w:r>
          </w:p>
          <w:p w:rsidR="00000000" w:rsidDel="00000000" w:rsidP="00000000" w:rsidRDefault="00000000" w:rsidRPr="00000000" w14:paraId="00000049">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Motion: C. Flores/J. VandenEynden</w:t>
            </w:r>
          </w:p>
        </w:tc>
      </w:tr>
      <w:tr>
        <w:trPr>
          <w:cantSplit w:val="0"/>
          <w:tblHeader w:val="0"/>
        </w:trPr>
        <w:tc>
          <w:tcPr/>
          <w:p w:rsidR="00000000" w:rsidDel="00000000" w:rsidP="00000000" w:rsidRDefault="00000000" w:rsidRPr="00000000" w14:paraId="0000004A">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5.</w:t>
            </w:r>
          </w:p>
        </w:tc>
        <w:tc>
          <w:tcPr/>
          <w:p w:rsidR="00000000" w:rsidDel="00000000" w:rsidP="00000000" w:rsidRDefault="00000000" w:rsidRPr="00000000" w14:paraId="0000004B">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Motion to reorder the agenda to move presentation #8 to the top, #5.</w:t>
            </w:r>
          </w:p>
          <w:p w:rsidR="00000000" w:rsidDel="00000000" w:rsidP="00000000" w:rsidRDefault="00000000" w:rsidRPr="00000000" w14:paraId="0000004C">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VOTE</w:t>
            </w:r>
            <w:r w:rsidDel="00000000" w:rsidR="00000000" w:rsidRPr="00000000">
              <w:rPr>
                <w:rFonts w:ascii="Calibri" w:cs="Calibri" w:eastAsia="Calibri" w:hAnsi="Calibri"/>
                <w:b w:val="1"/>
                <w:bCs w:val="1"/>
                <w:color w:val="38761d"/>
                <w:sz w:val="24"/>
                <w:szCs w:val="24"/>
                <w:rtl w:val="0"/>
              </w:rPr>
              <w:t xml:space="preserve">:</w:t>
            </w:r>
            <w:r w:rsidDel="00000000" w:rsidR="00000000" w:rsidRPr="00000000">
              <w:rPr>
                <w:rFonts w:ascii="Calibri" w:cs="Calibri" w:eastAsia="Calibri" w:hAnsi="Calibri"/>
                <w:sz w:val="24"/>
                <w:szCs w:val="24"/>
                <w:rtl w:val="0"/>
              </w:rPr>
              <w:t xml:space="preserve"> Agenda approved with no objections</w:t>
            </w:r>
          </w:p>
          <w:p w:rsidR="00000000" w:rsidDel="00000000" w:rsidP="00000000" w:rsidRDefault="00000000" w:rsidRPr="00000000" w14:paraId="0000004D">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Motion: C. Flores/M. Molina</w:t>
            </w:r>
          </w:p>
        </w:tc>
      </w:tr>
      <w:tr>
        <w:trPr>
          <w:cantSplit w:val="0"/>
          <w:tblHeader w:val="0"/>
        </w:trPr>
        <w:tc>
          <w:tcPr/>
          <w:p w:rsidR="00000000" w:rsidDel="00000000" w:rsidP="00000000" w:rsidRDefault="00000000" w:rsidRPr="00000000" w14:paraId="0000004E">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6.</w:t>
            </w:r>
          </w:p>
        </w:tc>
        <w:tc>
          <w:tcPr/>
          <w:p w:rsidR="00000000" w:rsidDel="00000000" w:rsidP="00000000" w:rsidRDefault="00000000" w:rsidRPr="00000000" w14:paraId="0000004F">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 8 Agenda Item: Presentations</w:t>
            </w:r>
          </w:p>
          <w:p w:rsidR="00000000" w:rsidDel="00000000" w:rsidP="00000000" w:rsidRDefault="00000000" w:rsidRPr="00000000" w14:paraId="00000050">
            <w:pPr>
              <w:spacing w:after="240" w:befor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F. Kalker &amp; J. Gould (</w:t>
            </w:r>
            <w:r w:rsidDel="00000000" w:rsidR="00000000" w:rsidRPr="00000000">
              <w:rPr>
                <w:rFonts w:ascii="Calibri" w:cs="Calibri" w:eastAsia="Calibri" w:hAnsi="Calibri"/>
                <w:sz w:val="24"/>
                <w:szCs w:val="24"/>
                <w:rtl w:val="0"/>
              </w:rPr>
              <w:t xml:space="preserve">Kalker &amp; Gould)</w:t>
            </w:r>
            <w:r w:rsidDel="00000000" w:rsidR="00000000" w:rsidRPr="00000000">
              <w:rPr>
                <w:rFonts w:ascii="Calibri" w:cs="Calibri" w:eastAsia="Calibri" w:hAnsi="Calibri"/>
                <w:sz w:val="24"/>
                <w:szCs w:val="24"/>
                <w:rtl w:val="0"/>
              </w:rPr>
              <w:t xml:space="preserve">, an instructional librarian and member of the Online Teaching and Learning Committee (OTLC), presented on behalf of the Distance Education Coordinator and colleagues discussed a proposed Regular and Substantive Interaction (RSI) scan of online courses.</w:t>
            </w:r>
          </w:p>
          <w:p w:rsidR="00000000" w:rsidDel="00000000" w:rsidP="00000000" w:rsidRDefault="00000000" w:rsidRPr="00000000" w14:paraId="00000051">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presentation was part of the college’s response to an ACCJC core inquiry about how the College ensured that RSI occurred in its online courses. Kalker &amp; Gould referenced OTLC’s previous report and recommendations presented to the Academic Senate in the spring. As part of that work, the committee had reviewed RSI practices and institutional responses at several California community colleges, including San Diego City, Riverside, Mt. SAC, San Bernardino, Moreno Valley, Cerritos, Cañada, and Orange Coast. Several of those institutions had experienced similar accreditation concerns, and their responses helped inform OTLC’s recommendations.</w:t>
            </w:r>
          </w:p>
          <w:p w:rsidR="00000000" w:rsidDel="00000000" w:rsidP="00000000" w:rsidRDefault="00000000" w:rsidRPr="00000000" w14:paraId="00000052">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Kalker &amp; Gould explained that the proposed RSI scan represented one component of a broader institutional approach to demonstrating and supporting RSI. Other components included an established RSI policy, professional development opportunities, faculty self-assessment within individual courses, and consideration of an ongoing randomized review process. Kalker &amp; Gould emphasized that the issue was particularly significant because approximately 72% of Grossmont students participated in online education.</w:t>
            </w:r>
          </w:p>
          <w:p w:rsidR="00000000" w:rsidDel="00000000" w:rsidP="00000000" w:rsidRDefault="00000000" w:rsidRPr="00000000" w14:paraId="00000053">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proposed scan was described as intentionally narrow in scope. It was not intended to evaluate course content, curriculum, instructional methodology, pedagogy, or individual teaching style. Instead, reviewers would look specifically for visible evidence of frequent, regular instructor presence and substantive interaction with students.</w:t>
            </w:r>
          </w:p>
          <w:p w:rsidR="00000000" w:rsidDel="00000000" w:rsidP="00000000" w:rsidRDefault="00000000" w:rsidRPr="00000000" w14:paraId="00000054">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proposed process would be faculty-led, peer-led, and randomized, drawing in part on the sampling approach ACCJC used during its review. Faculty reviewers would briefly scan selected online courses to determine whether RSI was clearly evident. When evidence was readily apparent, the review would simply document that finding. When questions or potential gaps were identified, the intent would be to initiate a supportive conversation with the faculty member and identify resources, professional development, or other assistance that might help strengthen RSI.</w:t>
            </w:r>
          </w:p>
          <w:p w:rsidR="00000000" w:rsidDel="00000000" w:rsidP="00000000" w:rsidRDefault="00000000" w:rsidRPr="00000000" w14:paraId="00000055">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Kalker &amp; Gould clarified that the proposal remained preliminary and under development. OTLC was still reviewing the draft process, gathering feedback, defining its purpose and boundaries, determining what evidence reviewers should examine, and developing a calibration process so faculty reviewers would have a shared understanding of what constituted evidence of RSI. The proposal would return through the collegial consultation process and to the Academic Senate before implementation.</w:t>
            </w:r>
          </w:p>
          <w:p w:rsidR="00000000" w:rsidDel="00000000" w:rsidP="00000000" w:rsidRDefault="00000000" w:rsidRPr="00000000" w14:paraId="00000056">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Questions from faculty addressed whether all online courses would be reviewed or whether courses would be randomly selected. Kalker &amp; Gould clarified that the proposed model involved a random sample rather than a review of every course and noted that this approach was generally consistent with the sampling methodology ACCJC had recently used.</w:t>
            </w:r>
          </w:p>
          <w:p w:rsidR="00000000" w:rsidDel="00000000" w:rsidP="00000000" w:rsidRDefault="00000000" w:rsidRPr="00000000" w14:paraId="00000057">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Faculty also asked how findings would be communicated. Kalker &amp; Gould indicated that the envisioned process included both individualized support when questions arose within a particular course and broader communication to the faculty collectively. Individual outreach would determine what assistance faculty needed, rather than simply directing them to existing training resources that might not address their specific circumstances.</w:t>
            </w:r>
          </w:p>
          <w:p w:rsidR="00000000" w:rsidDel="00000000" w:rsidP="00000000" w:rsidRDefault="00000000" w:rsidRPr="00000000" w14:paraId="00000058">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discussion concluded with an emphasis that RSI should not be viewed solely as an accreditation compliance requirement. The broader purpose was to ensure that online students experienced meaningful instructor presence, communication, engagement, and support. Faculty representatives were asked to take the information back to their departments, discuss the proposal with constituents, gather feedback, and communicate that input to OTLC. Faculty were also encouraged to participate directly in OTLC, particularly given the significant proportion of students taking online courses.</w:t>
            </w:r>
          </w:p>
          <w:p w:rsidR="00000000" w:rsidDel="00000000" w:rsidP="00000000" w:rsidRDefault="00000000" w:rsidRPr="00000000" w14:paraId="00000059">
            <w:pPr>
              <w:pStyle w:val="Heading3"/>
              <w:keepNext w:val="0"/>
              <w:keepLines w:val="0"/>
              <w:spacing w:before="280" w:lineRule="auto"/>
              <w:rPr>
                <w:rFonts w:ascii="Calibri" w:cs="Calibri" w:eastAsia="Calibri" w:hAnsi="Calibri"/>
                <w:b w:val="1"/>
                <w:bCs w:val="1"/>
                <w:color w:val="000000"/>
                <w:sz w:val="26"/>
                <w:szCs w:val="26"/>
              </w:rPr>
            </w:pPr>
            <w:bookmarkStart w:colFirst="0" w:colLast="0" w:name="_heading=h.5z0io1puxu69" w:id="3"/>
            <w:bookmarkEnd w:id="3"/>
            <w:r w:rsidDel="00000000" w:rsidR="00000000" w:rsidRPr="00000000">
              <w:rPr>
                <w:rFonts w:ascii="Calibri" w:cs="Calibri" w:eastAsia="Calibri" w:hAnsi="Calibri"/>
                <w:b w:val="1"/>
                <w:bCs w:val="1"/>
                <w:color w:val="000000"/>
                <w:sz w:val="26"/>
                <w:szCs w:val="26"/>
                <w:rtl w:val="0"/>
              </w:rPr>
              <w:t xml:space="preserve">Takeaways for Faculty and Constituent Discussion</w:t>
            </w:r>
          </w:p>
          <w:p w:rsidR="00000000" w:rsidDel="00000000" w:rsidP="00000000" w:rsidRDefault="00000000" w:rsidRPr="00000000" w14:paraId="0000005A">
            <w:pPr>
              <w:numPr>
                <w:ilvl w:val="0"/>
                <w:numId w:val="2"/>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Purpose of the scan</w:t>
            </w:r>
          </w:p>
          <w:p w:rsidR="00000000" w:rsidDel="00000000" w:rsidP="00000000" w:rsidRDefault="00000000" w:rsidRPr="00000000" w14:paraId="0000005B">
            <w:pPr>
              <w:numPr>
                <w:ilvl w:val="0"/>
                <w:numId w:val="2"/>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Narrow boundaries</w:t>
            </w:r>
          </w:p>
          <w:p w:rsidR="00000000" w:rsidDel="00000000" w:rsidP="00000000" w:rsidRDefault="00000000" w:rsidRPr="00000000" w14:paraId="0000005C">
            <w:pPr>
              <w:numPr>
                <w:ilvl w:val="0"/>
                <w:numId w:val="2"/>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Randomized, peer-led approach</w:t>
            </w:r>
          </w:p>
          <w:p w:rsidR="00000000" w:rsidDel="00000000" w:rsidP="00000000" w:rsidRDefault="00000000" w:rsidRPr="00000000" w14:paraId="0000005D">
            <w:pPr>
              <w:numPr>
                <w:ilvl w:val="0"/>
                <w:numId w:val="2"/>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Faculty consultation remained essential</w:t>
            </w:r>
          </w:p>
          <w:p w:rsidR="00000000" w:rsidDel="00000000" w:rsidP="00000000" w:rsidRDefault="00000000" w:rsidRPr="00000000" w14:paraId="0000005E">
            <w:pPr>
              <w:numPr>
                <w:ilvl w:val="0"/>
                <w:numId w:val="2"/>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Reviewer calibration</w:t>
            </w:r>
          </w:p>
          <w:p w:rsidR="00000000" w:rsidDel="00000000" w:rsidP="00000000" w:rsidRDefault="00000000" w:rsidRPr="00000000" w14:paraId="0000005F">
            <w:pPr>
              <w:numPr>
                <w:ilvl w:val="0"/>
                <w:numId w:val="2"/>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Support rather than evaluation</w:t>
            </w:r>
          </w:p>
          <w:p w:rsidR="00000000" w:rsidDel="00000000" w:rsidP="00000000" w:rsidRDefault="00000000" w:rsidRPr="00000000" w14:paraId="00000060">
            <w:pPr>
              <w:numPr>
                <w:ilvl w:val="0"/>
                <w:numId w:val="2"/>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Individual and institutional feedback</w:t>
            </w:r>
          </w:p>
          <w:p w:rsidR="00000000" w:rsidDel="00000000" w:rsidP="00000000" w:rsidRDefault="00000000" w:rsidRPr="00000000" w14:paraId="00000061">
            <w:pPr>
              <w:numPr>
                <w:ilvl w:val="0"/>
                <w:numId w:val="2"/>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Relationship to other RSI strategies</w:t>
            </w:r>
          </w:p>
          <w:p w:rsidR="00000000" w:rsidDel="00000000" w:rsidP="00000000" w:rsidRDefault="00000000" w:rsidRPr="00000000" w14:paraId="00000062">
            <w:pPr>
              <w:numPr>
                <w:ilvl w:val="0"/>
                <w:numId w:val="2"/>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Student-centered purpose</w:t>
            </w:r>
          </w:p>
          <w:p w:rsidR="00000000" w:rsidDel="00000000" w:rsidP="00000000" w:rsidRDefault="00000000" w:rsidRPr="00000000" w14:paraId="00000063">
            <w:pPr>
              <w:numPr>
                <w:ilvl w:val="0"/>
                <w:numId w:val="2"/>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Significance for the college</w:t>
            </w:r>
          </w:p>
          <w:p w:rsidR="00000000" w:rsidDel="00000000" w:rsidP="00000000" w:rsidRDefault="00000000" w:rsidRPr="00000000" w14:paraId="00000064">
            <w:pPr>
              <w:numPr>
                <w:ilvl w:val="0"/>
                <w:numId w:val="2"/>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Constituent responsibility</w:t>
            </w:r>
          </w:p>
          <w:p w:rsidR="00000000" w:rsidDel="00000000" w:rsidP="00000000" w:rsidRDefault="00000000" w:rsidRPr="00000000" w14:paraId="00000065">
            <w:pPr>
              <w:numPr>
                <w:ilvl w:val="0"/>
                <w:numId w:val="2"/>
              </w:numPr>
              <w:spacing w:after="24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Faculty participation was encouraged</w:t>
            </w:r>
          </w:p>
          <w:p w:rsidR="00000000" w:rsidDel="00000000" w:rsidP="00000000" w:rsidRDefault="00000000" w:rsidRPr="00000000" w14:paraId="00000066">
            <w:pPr>
              <w:spacing w:after="240" w:before="240" w:lineRule="auto"/>
              <w:ind w:left="0" w:firstLine="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R. Nasori: Supervisor, Career Services</w:t>
            </w:r>
          </w:p>
          <w:p w:rsidR="00000000" w:rsidDel="00000000" w:rsidP="00000000" w:rsidRDefault="00000000" w:rsidRPr="00000000" w14:paraId="00000067">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Career Services Supervisor highlighted the range of resources available to students, including career counseling, assessments, career exploration, experiential learning, internships, and employment preparation. Faculty were encouraged to connect students with Career Services and incorporate career exploration opportunities into their courses.</w:t>
            </w:r>
          </w:p>
          <w:p w:rsidR="00000000" w:rsidDel="00000000" w:rsidP="00000000" w:rsidRDefault="00000000" w:rsidRPr="00000000" w14:paraId="00000068">
            <w:pPr>
              <w:spacing w:after="240" w:befor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R. Nasori</w:t>
            </w:r>
            <w:r w:rsidDel="00000000" w:rsidR="00000000" w:rsidRPr="00000000">
              <w:rPr>
                <w:rFonts w:ascii="Calibri" w:cs="Calibri" w:eastAsia="Calibri" w:hAnsi="Calibri"/>
                <w:sz w:val="24"/>
                <w:szCs w:val="24"/>
                <w:rtl w:val="0"/>
              </w:rPr>
              <w:t xml:space="preserve"> promoted the upcoming 48th Annual Career Expo on October 8 from 11:00 a.m. to 2:00 p.m</w:t>
            </w:r>
            <w:r w:rsidDel="00000000" w:rsidR="00000000" w:rsidRPr="00000000">
              <w:rPr>
                <w:rFonts w:ascii="Calibri" w:cs="Calibri" w:eastAsia="Calibri" w:hAnsi="Calibri"/>
                <w:b w:val="1"/>
                <w:bCs w:val="1"/>
                <w:sz w:val="24"/>
                <w:szCs w:val="24"/>
                <w:rtl w:val="0"/>
              </w:rPr>
              <w:t xml:space="preserve">.</w:t>
            </w:r>
            <w:r w:rsidDel="00000000" w:rsidR="00000000" w:rsidRPr="00000000">
              <w:rPr>
                <w:rFonts w:ascii="Calibri" w:cs="Calibri" w:eastAsia="Calibri" w:hAnsi="Calibri"/>
                <w:sz w:val="24"/>
                <w:szCs w:val="24"/>
                <w:rtl w:val="0"/>
              </w:rPr>
              <w:t xml:space="preserve">, expected to feature about 100 employers offering full-time, part-time, seasonal, and internship opportunities. Faculty were encouraged to bring their classes and help students use the event to network, practice elevator pitches, learn about in-demand careers, and connect directly with employers. Career Services also offered preparatory workshops on resumes, interviewing, and professional communication.</w:t>
            </w:r>
          </w:p>
          <w:p w:rsidR="00000000" w:rsidDel="00000000" w:rsidP="00000000" w:rsidRDefault="00000000" w:rsidRPr="00000000" w14:paraId="00000069">
            <w:pPr>
              <w:spacing w:after="240" w:befor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R. Nasori</w:t>
            </w:r>
            <w:r w:rsidDel="00000000" w:rsidR="00000000" w:rsidRPr="00000000">
              <w:rPr>
                <w:rFonts w:ascii="Calibri" w:cs="Calibri" w:eastAsia="Calibri" w:hAnsi="Calibri"/>
                <w:sz w:val="24"/>
                <w:szCs w:val="24"/>
                <w:rtl w:val="0"/>
              </w:rPr>
              <w:t xml:space="preserve"> also announced a San Diego Chapter of the American Association for Women in Community Colleges (AAWCC) meet-and-greet luncheon. The event was open to everyone and was intended to reintroduce and strengthen the regional chapter while providing opportunities for networking, professional development, leadership, and support for women in higher education.</w:t>
            </w:r>
          </w:p>
          <w:p w:rsidR="00000000" w:rsidDel="00000000" w:rsidP="00000000" w:rsidRDefault="00000000" w:rsidRPr="00000000" w14:paraId="0000006A">
            <w:pPr>
              <w:spacing w:after="240" w:before="240" w:lineRule="auto"/>
              <w:ind w:left="0" w:firstLine="0"/>
              <w:rPr>
                <w:rFonts w:ascii="Calibri" w:cs="Calibri" w:eastAsia="Calibri" w:hAnsi="Calibri"/>
                <w:b w:val="1"/>
                <w:bCs w:val="1"/>
                <w:sz w:val="34"/>
                <w:szCs w:val="34"/>
              </w:rPr>
            </w:pPr>
            <w:r w:rsidDel="00000000" w:rsidR="00000000" w:rsidRPr="00000000">
              <w:rPr>
                <w:rFonts w:ascii="Calibri" w:cs="Calibri" w:eastAsia="Calibri" w:hAnsi="Calibri"/>
                <w:b w:val="1"/>
                <w:bCs w:val="1"/>
                <w:sz w:val="24"/>
                <w:szCs w:val="24"/>
                <w:rtl w:val="0"/>
              </w:rPr>
              <w:t xml:space="preserve">J. Wahler </w:t>
            </w:r>
            <w:r w:rsidDel="00000000" w:rsidR="00000000" w:rsidRPr="00000000">
              <w:rPr>
                <w:rFonts w:ascii="Calibri" w:cs="Calibri" w:eastAsia="Calibri" w:hAnsi="Calibri"/>
                <w:sz w:val="24"/>
                <w:szCs w:val="24"/>
                <w:rtl w:val="0"/>
              </w:rPr>
              <w:t xml:space="preserve">(Wahler)</w:t>
            </w:r>
            <w:r w:rsidDel="00000000" w:rsidR="00000000" w:rsidRPr="00000000">
              <w:rPr>
                <w:rFonts w:ascii="Calibri" w:cs="Calibri" w:eastAsia="Calibri" w:hAnsi="Calibri"/>
                <w:b w:val="1"/>
                <w:bCs w:val="1"/>
                <w:sz w:val="24"/>
                <w:szCs w:val="24"/>
                <w:rtl w:val="0"/>
              </w:rPr>
              <w:t xml:space="preserve">: Budget Committee Rubric</w:t>
            </w:r>
            <w:r w:rsidDel="00000000" w:rsidR="00000000" w:rsidRPr="00000000">
              <w:rPr>
                <w:rtl w:val="0"/>
              </w:rPr>
            </w:r>
          </w:p>
          <w:p w:rsidR="00000000" w:rsidDel="00000000" w:rsidP="00000000" w:rsidRDefault="00000000" w:rsidRPr="00000000" w14:paraId="0000006B">
            <w:pPr>
              <w:spacing w:after="240" w:before="240" w:lineRule="auto"/>
              <w:rPr>
                <w:rFonts w:ascii="Calibri" w:cs="Calibri" w:eastAsia="Calibri" w:hAnsi="Calibri"/>
                <w:b w:val="1"/>
                <w:bCs w:val="1"/>
                <w:color w:val="000000"/>
                <w:sz w:val="26"/>
                <w:szCs w:val="26"/>
              </w:rPr>
            </w:pPr>
            <w:r w:rsidDel="00000000" w:rsidR="00000000" w:rsidRPr="00000000">
              <w:rPr>
                <w:rFonts w:ascii="Calibri" w:cs="Calibri" w:eastAsia="Calibri" w:hAnsi="Calibri"/>
                <w:sz w:val="24"/>
                <w:szCs w:val="24"/>
                <w:rtl w:val="0"/>
              </w:rPr>
              <w:t xml:space="preserve">Wahler presented on the Budget Committee Rubric focused on proposed revisions to the Annual Unit Plan (AUP) budget augmentation/resource request rubric and process, with an emphasis on improving transparency, fairness, consistency, and alignment between what applicants were asked to submit and how their requests were ultimately evaluated. Wahler explained that the current process required applicants to submit resource requests through Nuventive, after which the Budget Committee evaluated and ranked the requests using a rubric before forwarding its recommendations through the governance process to College Council.</w:t>
            </w:r>
            <w:r w:rsidDel="00000000" w:rsidR="00000000" w:rsidRPr="00000000">
              <w:rPr>
                <w:rtl w:val="0"/>
              </w:rPr>
            </w:r>
          </w:p>
          <w:p w:rsidR="00000000" w:rsidDel="00000000" w:rsidP="00000000" w:rsidRDefault="00000000" w:rsidRPr="00000000" w14:paraId="0000006C">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central concern was that the questions in Nuventive did not fully align with the criteria in the scoring rubric. The rubric considered factors such as student success, enrollment impact, equity, inclusion, and support for disproportionately impacted students, even though the resource request questions did not consistently prompt applicants to address those areas.</w:t>
            </w:r>
          </w:p>
          <w:p w:rsidR="00000000" w:rsidDel="00000000" w:rsidP="00000000" w:rsidRDefault="00000000" w:rsidRPr="00000000" w14:paraId="0000006D">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Wahler emphasized that this created an inequitable process because individuals who were already familiar with the rubric or who had colleagues serving on the Budget Committee could know what information to include, while other applicants might not. As a result, two equally deserving requests could be presented differently simply because one applicant better understood the unpublished evaluation criteria.</w:t>
            </w:r>
          </w:p>
          <w:p w:rsidR="00000000" w:rsidDel="00000000" w:rsidP="00000000" w:rsidRDefault="00000000" w:rsidRPr="00000000" w14:paraId="0000006E">
            <w:pPr>
              <w:spacing w:after="240" w:before="240" w:lineRule="auto"/>
              <w:rPr>
                <w:rFonts w:ascii="Calibri" w:cs="Calibri" w:eastAsia="Calibri" w:hAnsi="Calibri"/>
                <w:b w:val="1"/>
                <w:bCs w:val="1"/>
                <w:color w:val="000000"/>
                <w:sz w:val="26"/>
                <w:szCs w:val="26"/>
              </w:rPr>
            </w:pPr>
            <w:r w:rsidDel="00000000" w:rsidR="00000000" w:rsidRPr="00000000">
              <w:rPr>
                <w:rFonts w:ascii="Calibri" w:cs="Calibri" w:eastAsia="Calibri" w:hAnsi="Calibri"/>
                <w:sz w:val="24"/>
                <w:szCs w:val="24"/>
                <w:rtl w:val="0"/>
              </w:rPr>
              <w:t xml:space="preserve">Another concern involved access to the rubric itself. The rubric had not been readily available to all applicants. The presenter compared this to faculty providing students with an assignment without telling them how it would be graded. Moving forward, the recommendation was that the rubric be made readily accessible within Nuventive so that everyone submitting a request understood the criteria in advance.</w:t>
            </w:r>
            <w:r w:rsidDel="00000000" w:rsidR="00000000" w:rsidRPr="00000000">
              <w:rPr>
                <w:rtl w:val="0"/>
              </w:rPr>
            </w:r>
          </w:p>
          <w:p w:rsidR="00000000" w:rsidDel="00000000" w:rsidP="00000000" w:rsidRDefault="00000000" w:rsidRPr="00000000" w14:paraId="0000006F">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Wahler</w:t>
            </w:r>
            <w:r w:rsidDel="00000000" w:rsidR="00000000" w:rsidRPr="00000000">
              <w:rPr>
                <w:rFonts w:ascii="Calibri" w:cs="Calibri" w:eastAsia="Calibri" w:hAnsi="Calibri"/>
                <w:sz w:val="24"/>
                <w:szCs w:val="24"/>
                <w:rtl w:val="0"/>
              </w:rPr>
              <w:t xml:space="preserve"> also discussed the need to close the loop after Budget Committee recommendations were made. When final funding decisions differed from the Budget Committee's rankings or recommendations, the committee should receive information explaining why those changes occurred.</w:t>
            </w:r>
          </w:p>
          <w:p w:rsidR="00000000" w:rsidDel="00000000" w:rsidP="00000000" w:rsidRDefault="00000000" w:rsidRPr="00000000" w14:paraId="00000070">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intent was not necessarily to change the existing decision-making structure but to strengthen transparency and institutional learning. Understanding why recommendations were modified could help the Budget Committee determine whether there were considerations it had overlooked and improve future evaluations.</w:t>
            </w:r>
          </w:p>
          <w:p w:rsidR="00000000" w:rsidDel="00000000" w:rsidP="00000000" w:rsidRDefault="00000000" w:rsidRPr="00000000" w14:paraId="00000071">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Wahler stressed that transparency was particularly important because even relatively small funding allocations could have a substantial effect on departments and programs, especially smaller programs with limited resources.</w:t>
            </w:r>
            <w:r w:rsidDel="00000000" w:rsidR="00000000" w:rsidRPr="00000000">
              <w:rPr>
                <w:rFonts w:ascii="Calibri" w:cs="Calibri" w:eastAsia="Calibri" w:hAnsi="Calibri"/>
                <w:b w:val="1"/>
                <w:bCs w:val="1"/>
                <w:sz w:val="26"/>
                <w:szCs w:val="26"/>
                <w:rtl w:val="0"/>
              </w:rPr>
              <w:t xml:space="preserve"> </w:t>
            </w:r>
            <w:r w:rsidDel="00000000" w:rsidR="00000000" w:rsidRPr="00000000">
              <w:rPr>
                <w:rFonts w:ascii="Calibri" w:cs="Calibri" w:eastAsia="Calibri" w:hAnsi="Calibri"/>
                <w:sz w:val="24"/>
                <w:szCs w:val="24"/>
                <w:rtl w:val="0"/>
              </w:rPr>
              <w:t xml:space="preserve">The sustainability criterion could inadvertently disadvantage requests requiring recurring funding because applicants could not receive the maximum sustainability points when their proposals required continued institutional financial support.</w:t>
            </w:r>
          </w:p>
          <w:p w:rsidR="00000000" w:rsidDel="00000000" w:rsidP="00000000" w:rsidRDefault="00000000" w:rsidRPr="00000000" w14:paraId="00000072">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Examples discussed included recurring support for staffing or professional responsibilities such as attendance at Plenary. Although such expenditures might represent legitimate and predictable institutional needs, their recurring nature could reduce their scores under a rubric primarily designed around sustainability without ongoing funding.</w:t>
            </w:r>
          </w:p>
          <w:p w:rsidR="00000000" w:rsidDel="00000000" w:rsidP="00000000" w:rsidRDefault="00000000" w:rsidRPr="00000000" w14:paraId="00000073">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proposed solution was to separate ongoing funding requests from one-time resource requests. Under the emerging model, the existing AUP budget augmentation process would become more explicitly focused on one-time expenses, while ongoing expenses would be addressed through a separate process that was still being developed.</w:t>
            </w:r>
          </w:p>
          <w:p w:rsidR="00000000" w:rsidDel="00000000" w:rsidP="00000000" w:rsidRDefault="00000000" w:rsidRPr="00000000" w14:paraId="00000074">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proposed sequence was to finalize the revised rubric first and then revise the Nuventive application questions to correspond directly with those criteria. This would allow applicants to understand exactly what information they needed to provide and would reduce the need for reviewers to infer information from presentations or other parts of the Annual Unit Plan.</w:t>
            </w:r>
          </w:p>
          <w:p w:rsidR="00000000" w:rsidDel="00000000" w:rsidP="00000000" w:rsidRDefault="00000000" w:rsidRPr="00000000" w14:paraId="00000075">
            <w:pPr>
              <w:spacing w:after="240" w:before="240" w:lineRule="auto"/>
              <w:rPr>
                <w:rFonts w:ascii="Calibri" w:cs="Calibri" w:eastAsia="Calibri" w:hAnsi="Calibri"/>
                <w:b w:val="1"/>
                <w:bCs w:val="1"/>
                <w:color w:val="000000"/>
                <w:sz w:val="26"/>
                <w:szCs w:val="26"/>
              </w:rPr>
            </w:pPr>
            <w:r w:rsidDel="00000000" w:rsidR="00000000" w:rsidRPr="00000000">
              <w:rPr>
                <w:rFonts w:ascii="Calibri" w:cs="Calibri" w:eastAsia="Calibri" w:hAnsi="Calibri"/>
                <w:sz w:val="24"/>
                <w:szCs w:val="24"/>
                <w:rtl w:val="0"/>
              </w:rPr>
              <w:t xml:space="preserve">During the discussion, it was also noted that reviewers should consider the entire Annual Unit Plan, not simply the resource request section. The broader AUP already contained information related to areas such as equity and support for disproportionately impacted students. This raised an important consideration about ensuring that the revised process clearly identified which information reviewers were expected to consider and where applicants should provide it.</w:t>
            </w:r>
            <w:r w:rsidDel="00000000" w:rsidR="00000000" w:rsidRPr="00000000">
              <w:rPr>
                <w:rtl w:val="0"/>
              </w:rPr>
            </w:r>
          </w:p>
          <w:p w:rsidR="00000000" w:rsidDel="00000000" w:rsidP="00000000" w:rsidRDefault="00000000" w:rsidRPr="00000000" w14:paraId="00000076">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Wahler</w:t>
            </w:r>
            <w:r w:rsidDel="00000000" w:rsidR="00000000" w:rsidRPr="00000000">
              <w:rPr>
                <w:rFonts w:ascii="Calibri" w:cs="Calibri" w:eastAsia="Calibri" w:hAnsi="Calibri"/>
                <w:sz w:val="24"/>
                <w:szCs w:val="24"/>
                <w:rtl w:val="0"/>
              </w:rPr>
              <w:t xml:space="preserve"> introduced a revised rubric intended to address the shortcomings of the existing process. The revision sought to make evaluation criteria more explicit, better align them with the information applicants would be asked to provide, and improve consistency across requests.</w:t>
            </w:r>
          </w:p>
          <w:p w:rsidR="00000000" w:rsidDel="00000000" w:rsidP="00000000" w:rsidRDefault="00000000" w:rsidRPr="00000000" w14:paraId="00000077">
            <w:pPr>
              <w:spacing w:after="240" w:before="240" w:lineRule="auto"/>
              <w:rPr>
                <w:rFonts w:ascii="Calibri" w:cs="Calibri" w:eastAsia="Calibri" w:hAnsi="Calibri"/>
                <w:b w:val="1"/>
                <w:bCs w:val="1"/>
                <w:color w:val="000000"/>
                <w:sz w:val="26"/>
                <w:szCs w:val="26"/>
              </w:rPr>
            </w:pPr>
            <w:r w:rsidDel="00000000" w:rsidR="00000000" w:rsidRPr="00000000">
              <w:rPr>
                <w:rFonts w:ascii="Calibri" w:cs="Calibri" w:eastAsia="Calibri" w:hAnsi="Calibri"/>
                <w:sz w:val="24"/>
                <w:szCs w:val="24"/>
                <w:rtl w:val="0"/>
              </w:rPr>
              <w:t xml:space="preserve">Faculty raised questions about the weighting of individual criteria, including whether urgency continued to receive the same proportion of points as it had under the existing rubric. There was also discussion about whether the rubric should be more specific regarding the types of supporting evidence and equity data applicants should provide. A concern was raised that without clearer expectations, applicants might submit very different types of evidence, making equitable comparisons more difficult.</w:t>
            </w:r>
            <w:r w:rsidDel="00000000" w:rsidR="00000000" w:rsidRPr="00000000">
              <w:rPr>
                <w:rtl w:val="0"/>
              </w:rPr>
            </w:r>
          </w:p>
          <w:p w:rsidR="00000000" w:rsidDel="00000000" w:rsidP="00000000" w:rsidRDefault="00000000" w:rsidRPr="00000000" w14:paraId="00000078">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 important distinction was made between the current/next immediate funding cycle and future cycles. The existing rubric would still be used for the upcoming cycle because the proposed revisions had not yet completed the governance process. However, there was a request to make the existing rubric available to AUP submitters immediately and to clearly communicate the criteria that were not explicitly reflected in the current Nuventive questions. This would help applicants navigate the current process more fairly while the larger revisions were being developed.</w:t>
            </w:r>
          </w:p>
          <w:p w:rsidR="00000000" w:rsidDel="00000000" w:rsidP="00000000" w:rsidRDefault="00000000" w:rsidRPr="00000000" w14:paraId="00000079">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revised rubric and corresponding Nuventive questions were intended for a subsequent AUP/resource request cycle, allowing sufficient time for constituent review and governance approval.</w:t>
            </w:r>
          </w:p>
          <w:p w:rsidR="00000000" w:rsidDel="00000000" w:rsidP="00000000" w:rsidRDefault="00000000" w:rsidRPr="00000000" w14:paraId="0000007A">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recommendation was also that the application form and rubric be reviewed together annually, and early enough in the academic year to allow necessary revisions to complete governance review before the next application cycle began. This would help prevent the application and evaluation criteria from becoming misaligned again.</w:t>
            </w:r>
          </w:p>
          <w:p w:rsidR="00000000" w:rsidDel="00000000" w:rsidP="00000000" w:rsidRDefault="00000000" w:rsidRPr="00000000" w14:paraId="0000007B">
            <w:pPr>
              <w:spacing w:after="240" w:before="240" w:lineRule="auto"/>
              <w:rPr>
                <w:rFonts w:ascii="Calibri" w:cs="Calibri" w:eastAsia="Calibri" w:hAnsi="Calibri"/>
                <w:b w:val="1"/>
                <w:bCs w:val="1"/>
                <w:color w:val="000000"/>
                <w:sz w:val="26"/>
                <w:szCs w:val="26"/>
              </w:rPr>
            </w:pPr>
            <w:r w:rsidDel="00000000" w:rsidR="00000000" w:rsidRPr="00000000">
              <w:rPr>
                <w:rFonts w:ascii="Calibri" w:cs="Calibri" w:eastAsia="Calibri" w:hAnsi="Calibri"/>
                <w:sz w:val="24"/>
                <w:szCs w:val="24"/>
                <w:rtl w:val="0"/>
              </w:rPr>
              <w:t xml:space="preserve">The discussion indicated that other constituency groups had or would have opportunities to review the rubric, including the Classified Senate and Administrators Association, with the Academic Senate participating in the approval process.</w:t>
            </w:r>
            <w:r w:rsidDel="00000000" w:rsidR="00000000" w:rsidRPr="00000000">
              <w:rPr>
                <w:rtl w:val="0"/>
              </w:rPr>
            </w:r>
          </w:p>
          <w:p w:rsidR="00000000" w:rsidDel="00000000" w:rsidP="00000000" w:rsidRDefault="00000000" w:rsidRPr="00000000" w14:paraId="0000007C">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Wahler</w:t>
            </w:r>
            <w:r w:rsidDel="00000000" w:rsidR="00000000" w:rsidRPr="00000000">
              <w:rPr>
                <w:rFonts w:ascii="Calibri" w:cs="Calibri" w:eastAsia="Calibri" w:hAnsi="Calibri"/>
                <w:sz w:val="24"/>
                <w:szCs w:val="24"/>
                <w:rtl w:val="0"/>
              </w:rPr>
              <w:t xml:space="preserve"> clarified that the revision of the rubric did not predetermine which programs or requests would receive</w:t>
            </w:r>
            <w:r w:rsidDel="00000000" w:rsidR="00000000" w:rsidRPr="00000000">
              <w:rPr>
                <w:rFonts w:ascii="Calibri" w:cs="Calibri" w:eastAsia="Calibri" w:hAnsi="Calibri"/>
                <w:b w:val="1"/>
                <w:bCs w:val="1"/>
                <w:sz w:val="24"/>
                <w:szCs w:val="24"/>
                <w:rtl w:val="0"/>
              </w:rPr>
              <w:t xml:space="preserve"> </w:t>
            </w:r>
            <w:r w:rsidDel="00000000" w:rsidR="00000000" w:rsidRPr="00000000">
              <w:rPr>
                <w:rFonts w:ascii="Calibri" w:cs="Calibri" w:eastAsia="Calibri" w:hAnsi="Calibri"/>
                <w:sz w:val="24"/>
                <w:szCs w:val="24"/>
                <w:rtl w:val="0"/>
              </w:rPr>
              <w:t xml:space="preserve">funding. Rather, the purpose was to create a clearer and more equitable process in which applicants understood expectations in advance and reviewers applied consistent criteria.</w:t>
            </w:r>
          </w:p>
          <w:p w:rsidR="00000000" w:rsidDel="00000000" w:rsidP="00000000" w:rsidRDefault="00000000" w:rsidRPr="00000000" w14:paraId="0000007D">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proposed changes therefore centered on four principles: transparency, alignment, consistency, and fairness.</w:t>
            </w:r>
          </w:p>
          <w:p w:rsidR="00000000" w:rsidDel="00000000" w:rsidP="00000000" w:rsidRDefault="00000000" w:rsidRPr="00000000" w14:paraId="0000007E">
            <w:pPr>
              <w:pStyle w:val="Heading2"/>
              <w:keepNext w:val="0"/>
              <w:keepLines w:val="0"/>
              <w:spacing w:after="80" w:lineRule="auto"/>
              <w:rPr>
                <w:rFonts w:ascii="Calibri" w:cs="Calibri" w:eastAsia="Calibri" w:hAnsi="Calibri"/>
                <w:b w:val="1"/>
                <w:bCs w:val="1"/>
                <w:sz w:val="24"/>
                <w:szCs w:val="24"/>
              </w:rPr>
            </w:pPr>
            <w:bookmarkStart w:colFirst="0" w:colLast="0" w:name="_heading=h.qzw3qseqjoqm" w:id="4"/>
            <w:bookmarkEnd w:id="4"/>
            <w:r w:rsidDel="00000000" w:rsidR="00000000" w:rsidRPr="00000000">
              <w:rPr>
                <w:rFonts w:ascii="Calibri" w:cs="Calibri" w:eastAsia="Calibri" w:hAnsi="Calibri"/>
                <w:b w:val="1"/>
                <w:bCs w:val="1"/>
                <w:sz w:val="24"/>
                <w:szCs w:val="24"/>
                <w:rtl w:val="0"/>
              </w:rPr>
              <w:t xml:space="preserve">Takeaways for Faculty and Constituent Discussion</w:t>
            </w:r>
          </w:p>
          <w:p w:rsidR="00000000" w:rsidDel="00000000" w:rsidP="00000000" w:rsidRDefault="00000000" w:rsidRPr="00000000" w14:paraId="0000007F">
            <w:pPr>
              <w:numPr>
                <w:ilvl w:val="0"/>
                <w:numId w:val="1"/>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Rubric transparency</w:t>
            </w:r>
          </w:p>
          <w:p w:rsidR="00000000" w:rsidDel="00000000" w:rsidP="00000000" w:rsidRDefault="00000000" w:rsidRPr="00000000" w14:paraId="00000080">
            <w:pPr>
              <w:numPr>
                <w:ilvl w:val="0"/>
                <w:numId w:val="1"/>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Application/rubric alignment</w:t>
            </w:r>
          </w:p>
          <w:p w:rsidR="00000000" w:rsidDel="00000000" w:rsidP="00000000" w:rsidRDefault="00000000" w:rsidRPr="00000000" w14:paraId="00000081">
            <w:pPr>
              <w:numPr>
                <w:ilvl w:val="0"/>
                <w:numId w:val="1"/>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Equitable access to information</w:t>
            </w:r>
          </w:p>
          <w:p w:rsidR="00000000" w:rsidDel="00000000" w:rsidP="00000000" w:rsidRDefault="00000000" w:rsidRPr="00000000" w14:paraId="00000082">
            <w:pPr>
              <w:numPr>
                <w:ilvl w:val="0"/>
                <w:numId w:val="1"/>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Student success and equity</w:t>
            </w:r>
          </w:p>
          <w:p w:rsidR="00000000" w:rsidDel="00000000" w:rsidP="00000000" w:rsidRDefault="00000000" w:rsidRPr="00000000" w14:paraId="00000083">
            <w:pPr>
              <w:numPr>
                <w:ilvl w:val="0"/>
                <w:numId w:val="1"/>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Evidence expectations</w:t>
            </w:r>
          </w:p>
          <w:p w:rsidR="00000000" w:rsidDel="00000000" w:rsidP="00000000" w:rsidRDefault="00000000" w:rsidRPr="00000000" w14:paraId="00000084">
            <w:pPr>
              <w:numPr>
                <w:ilvl w:val="0"/>
                <w:numId w:val="1"/>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One-time versus ongoing funding.</w:t>
            </w:r>
          </w:p>
          <w:p w:rsidR="00000000" w:rsidDel="00000000" w:rsidP="00000000" w:rsidRDefault="00000000" w:rsidRPr="00000000" w14:paraId="00000085">
            <w:pPr>
              <w:numPr>
                <w:ilvl w:val="0"/>
                <w:numId w:val="1"/>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Future cycle</w:t>
            </w:r>
          </w:p>
          <w:p w:rsidR="00000000" w:rsidDel="00000000" w:rsidP="00000000" w:rsidRDefault="00000000" w:rsidRPr="00000000" w14:paraId="00000086">
            <w:pPr>
              <w:numPr>
                <w:ilvl w:val="0"/>
                <w:numId w:val="1"/>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Review of the full AUP</w:t>
            </w:r>
          </w:p>
          <w:p w:rsidR="00000000" w:rsidDel="00000000" w:rsidP="00000000" w:rsidRDefault="00000000" w:rsidRPr="00000000" w14:paraId="00000087">
            <w:pPr>
              <w:numPr>
                <w:ilvl w:val="0"/>
                <w:numId w:val="1"/>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Closing the loop</w:t>
            </w:r>
          </w:p>
          <w:p w:rsidR="00000000" w:rsidDel="00000000" w:rsidP="00000000" w:rsidRDefault="00000000" w:rsidRPr="00000000" w14:paraId="00000088">
            <w:pPr>
              <w:numPr>
                <w:ilvl w:val="0"/>
                <w:numId w:val="1"/>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Annual review</w:t>
            </w:r>
          </w:p>
          <w:p w:rsidR="00000000" w:rsidDel="00000000" w:rsidP="00000000" w:rsidRDefault="00000000" w:rsidRPr="00000000" w14:paraId="00000089">
            <w:pPr>
              <w:numPr>
                <w:ilvl w:val="0"/>
                <w:numId w:val="1"/>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Constituent feedback</w:t>
            </w:r>
          </w:p>
          <w:p w:rsidR="00000000" w:rsidDel="00000000" w:rsidP="00000000" w:rsidRDefault="00000000" w:rsidRPr="00000000" w14:paraId="0000008A">
            <w:pPr>
              <w:numPr>
                <w:ilvl w:val="0"/>
                <w:numId w:val="1"/>
              </w:numPr>
              <w:spacing w:after="24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Overall objective:</w:t>
            </w:r>
            <w:r w:rsidDel="00000000" w:rsidR="00000000" w:rsidRPr="00000000">
              <w:rPr>
                <w:rFonts w:ascii="Calibri" w:cs="Calibri" w:eastAsia="Calibri" w:hAnsi="Calibri"/>
                <w:sz w:val="24"/>
                <w:szCs w:val="24"/>
                <w:rtl w:val="0"/>
              </w:rPr>
              <w:t xml:space="preserve"> The proposed revision sought to ensure that </w:t>
            </w:r>
            <w:r w:rsidDel="00000000" w:rsidR="00000000" w:rsidRPr="00000000">
              <w:rPr>
                <w:rFonts w:ascii="Calibri" w:cs="Calibri" w:eastAsia="Calibri" w:hAnsi="Calibri"/>
                <w:b w:val="1"/>
                <w:bCs w:val="1"/>
                <w:sz w:val="24"/>
                <w:szCs w:val="24"/>
                <w:rtl w:val="0"/>
              </w:rPr>
              <w:t xml:space="preserve">all </w:t>
            </w:r>
            <w:r w:rsidDel="00000000" w:rsidR="00000000" w:rsidRPr="00000000">
              <w:rPr>
                <w:rFonts w:ascii="Calibri" w:cs="Calibri" w:eastAsia="Calibri" w:hAnsi="Calibri"/>
                <w:sz w:val="24"/>
                <w:szCs w:val="24"/>
                <w:rtl w:val="0"/>
              </w:rPr>
              <w:t xml:space="preserve">applicants knew what was expected, had equal access to the evaluation criteria, and were evaluated consistently using information they had actually been asked to provide.</w:t>
            </w:r>
          </w:p>
        </w:tc>
      </w:tr>
      <w:tr>
        <w:trPr>
          <w:cantSplit w:val="0"/>
          <w:tblHeader w:val="0"/>
        </w:trPr>
        <w:tc>
          <w:tcPr/>
          <w:p w:rsidR="00000000" w:rsidDel="00000000" w:rsidP="00000000" w:rsidRDefault="00000000" w:rsidRPr="00000000" w14:paraId="0000008B">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5</w:t>
            </w:r>
          </w:p>
          <w:p w:rsidR="00000000" w:rsidDel="00000000" w:rsidP="00000000" w:rsidRDefault="00000000" w:rsidRPr="00000000" w14:paraId="0000008C">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D">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5.1</w:t>
            </w:r>
          </w:p>
          <w:p w:rsidR="00000000" w:rsidDel="00000000" w:rsidP="00000000" w:rsidRDefault="00000000" w:rsidRPr="00000000" w14:paraId="0000008E">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F">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0">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1">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2">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3">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4">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5.2</w:t>
            </w:r>
          </w:p>
          <w:p w:rsidR="00000000" w:rsidDel="00000000" w:rsidP="00000000" w:rsidRDefault="00000000" w:rsidRPr="00000000" w14:paraId="00000095">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6">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7">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8">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9">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5.3</w:t>
            </w:r>
          </w:p>
          <w:p w:rsidR="00000000" w:rsidDel="00000000" w:rsidP="00000000" w:rsidRDefault="00000000" w:rsidRPr="00000000" w14:paraId="0000009A">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B">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C">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D">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E">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F">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0">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1">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5.4</w:t>
            </w:r>
          </w:p>
          <w:p w:rsidR="00000000" w:rsidDel="00000000" w:rsidP="00000000" w:rsidRDefault="00000000" w:rsidRPr="00000000" w14:paraId="000000A2">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3">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4">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5">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6">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7">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8">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9">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5.5</w:t>
            </w:r>
          </w:p>
          <w:p w:rsidR="00000000" w:rsidDel="00000000" w:rsidP="00000000" w:rsidRDefault="00000000" w:rsidRPr="00000000" w14:paraId="000000AA">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B">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C">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D">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E">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F">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0">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1">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5.6</w:t>
            </w:r>
          </w:p>
          <w:p w:rsidR="00000000" w:rsidDel="00000000" w:rsidP="00000000" w:rsidRDefault="00000000" w:rsidRPr="00000000" w14:paraId="000000B2">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3">
            <w:pPr>
              <w:spacing w:line="240" w:lineRule="auto"/>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0B4">
            <w:pPr>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Announcements </w:t>
            </w:r>
          </w:p>
          <w:p w:rsidR="00000000" w:rsidDel="00000000" w:rsidP="00000000" w:rsidRDefault="00000000" w:rsidRPr="00000000" w14:paraId="000000B5">
            <w:pPr>
              <w:spacing w:line="240"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B6">
            <w:pPr>
              <w:spacing w:lin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Academic Senate Volunteers: </w:t>
            </w:r>
            <w:r w:rsidDel="00000000" w:rsidR="00000000" w:rsidRPr="00000000">
              <w:rPr>
                <w:rFonts w:ascii="Calibri" w:cs="Calibri" w:eastAsia="Calibri" w:hAnsi="Calibri"/>
                <w:sz w:val="24"/>
                <w:szCs w:val="24"/>
                <w:rtl w:val="0"/>
              </w:rPr>
              <w:t xml:space="preserve">The Senate provided updates on faculty volunteer opportunities and appointments. A previous call for Academic Senate and committee volunteers had been distributed, and an additional call for remaining vacancies was expected to be sent that afternoon. The Senate Officers reviewed the volunteer submissions, and faculty selected for appointments were scheduled to receive notification.</w:t>
            </w:r>
          </w:p>
          <w:p w:rsidR="00000000" w:rsidDel="00000000" w:rsidP="00000000" w:rsidRDefault="00000000" w:rsidRPr="00000000" w14:paraId="000000B7">
            <w:pPr>
              <w:spacing w:lin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PT Faculty Senator</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bCs w:val="1"/>
                <w:sz w:val="24"/>
                <w:szCs w:val="24"/>
                <w:rtl w:val="0"/>
              </w:rPr>
              <w:t xml:space="preserve">Proxy: </w:t>
            </w:r>
            <w:r w:rsidDel="00000000" w:rsidR="00000000" w:rsidRPr="00000000">
              <w:rPr>
                <w:rFonts w:ascii="Calibri" w:cs="Calibri" w:eastAsia="Calibri" w:hAnsi="Calibri"/>
                <w:sz w:val="24"/>
                <w:szCs w:val="24"/>
                <w:rtl w:val="0"/>
              </w:rPr>
              <w:t xml:space="preserve">The Senate also welcomed and acknowledged Alia Barkzi who had volunteered to serve as a proxy for the part-time faculty senator, thanking them for stepping into the representative role and supporting broader faculty participation in Senate activities.</w:t>
            </w:r>
          </w:p>
          <w:p w:rsidR="00000000" w:rsidDel="00000000" w:rsidP="00000000" w:rsidRDefault="00000000" w:rsidRPr="00000000" w14:paraId="000000B8">
            <w:pPr>
              <w:spacing w:line="240"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B9">
            <w:pPr>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ACCJC Site Visit</w:t>
            </w:r>
          </w:p>
          <w:p w:rsidR="00000000" w:rsidDel="00000000" w:rsidP="00000000" w:rsidRDefault="00000000" w:rsidRPr="00000000" w14:paraId="000000BA">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Faculty were reminded of the upcoming ACCJC campus visit and encouraged to ensure the visit was reflected on their calendars. Multiple communications regarding the visit had already been distributed, and faculty were encouraged to review those messages for schedules and participation details. A question was raised regarding whether an RSVP was required for the Wednesday breakfast, and follow-up clarification was expected.</w:t>
            </w:r>
          </w:p>
          <w:p w:rsidR="00000000" w:rsidDel="00000000" w:rsidP="00000000" w:rsidRDefault="00000000" w:rsidRPr="00000000" w14:paraId="000000BB">
            <w:pPr>
              <w:spacing w:line="240" w:lineRule="auto"/>
              <w:ind w:left="0" w:firstLine="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National Hispanic Heritage Month</w:t>
            </w:r>
          </w:p>
          <w:p w:rsidR="00000000" w:rsidDel="00000000" w:rsidP="00000000" w:rsidRDefault="00000000" w:rsidRPr="00000000" w14:paraId="000000BC">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Faculty were reminded that National Hispanic Heritage Month was observed from September 15 through October 15. Faculty were encouraged to promote the planned campus activities to their students and to participate themselves in the events organized by campus colleagues in recognition and celebration of the month.</w:t>
            </w:r>
          </w:p>
          <w:p w:rsidR="00000000" w:rsidDel="00000000" w:rsidP="00000000" w:rsidRDefault="00000000" w:rsidRPr="00000000" w14:paraId="000000BD">
            <w:pPr>
              <w:pStyle w:val="Heading3"/>
              <w:keepNext w:val="0"/>
              <w:keepLines w:val="0"/>
              <w:spacing w:before="280" w:lineRule="auto"/>
              <w:rPr>
                <w:rFonts w:ascii="Calibri" w:cs="Calibri" w:eastAsia="Calibri" w:hAnsi="Calibri"/>
                <w:b w:val="1"/>
                <w:bCs w:val="1"/>
                <w:color w:val="000000"/>
                <w:sz w:val="24"/>
                <w:szCs w:val="24"/>
              </w:rPr>
            </w:pPr>
            <w:bookmarkStart w:colFirst="0" w:colLast="0" w:name="_heading=h.5mt0povfueou" w:id="5"/>
            <w:bookmarkEnd w:id="5"/>
            <w:r w:rsidDel="00000000" w:rsidR="00000000" w:rsidRPr="00000000">
              <w:rPr>
                <w:rFonts w:ascii="Calibri" w:cs="Calibri" w:eastAsia="Calibri" w:hAnsi="Calibri"/>
                <w:b w:val="1"/>
                <w:bCs w:val="1"/>
                <w:color w:val="000000"/>
                <w:sz w:val="24"/>
                <w:szCs w:val="24"/>
                <w:rtl w:val="0"/>
              </w:rPr>
              <w:t xml:space="preserve">New/Newer Faculty Welcome Reception</w:t>
            </w:r>
          </w:p>
          <w:p w:rsidR="00000000" w:rsidDel="00000000" w:rsidP="00000000" w:rsidRDefault="00000000" w:rsidRPr="00000000" w14:paraId="000000BE">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Senate announced plans to host a welcome reception for new and newer faculty, with support from the college president. The reception was intended to formally welcome faculty to Grossmont College, foster connections with colleagues, and strengthen their sense of belonging within the campus community. The event was tentatively planned for October.</w:t>
            </w:r>
          </w:p>
          <w:p w:rsidR="00000000" w:rsidDel="00000000" w:rsidP="00000000" w:rsidRDefault="00000000" w:rsidRPr="00000000" w14:paraId="000000BF">
            <w:pPr>
              <w:spacing w:after="300" w:before="3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district has updated its governance handbook. The document is available in the attachment folder for all constituents to review.</w:t>
            </w:r>
          </w:p>
        </w:tc>
      </w:tr>
      <w:tr>
        <w:trPr>
          <w:cantSplit w:val="0"/>
          <w:tblHeader w:val="0"/>
        </w:trPr>
        <w:tc>
          <w:tcPr/>
          <w:p w:rsidR="00000000" w:rsidDel="00000000" w:rsidP="00000000" w:rsidRDefault="00000000" w:rsidRPr="00000000" w14:paraId="000000C0">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6</w:t>
            </w:r>
          </w:p>
          <w:p w:rsidR="00000000" w:rsidDel="00000000" w:rsidP="00000000" w:rsidRDefault="00000000" w:rsidRPr="00000000" w14:paraId="000000C1">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2">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6.1</w:t>
            </w:r>
          </w:p>
          <w:p w:rsidR="00000000" w:rsidDel="00000000" w:rsidP="00000000" w:rsidRDefault="00000000" w:rsidRPr="00000000" w14:paraId="000000C3">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4">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5">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6">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7">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8">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9">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A">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B">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C">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D">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E">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6.2</w:t>
            </w:r>
          </w:p>
          <w:p w:rsidR="00000000" w:rsidDel="00000000" w:rsidP="00000000" w:rsidRDefault="00000000" w:rsidRPr="00000000" w14:paraId="000000CF">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D0">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D1">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D2">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D3">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D4">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D5">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D6">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6.3</w:t>
            </w:r>
          </w:p>
          <w:p w:rsidR="00000000" w:rsidDel="00000000" w:rsidP="00000000" w:rsidRDefault="00000000" w:rsidRPr="00000000" w14:paraId="000000D7">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D8">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D9">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DA">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DB">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DC">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DD">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DE">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6.4</w:t>
            </w:r>
          </w:p>
          <w:p w:rsidR="00000000" w:rsidDel="00000000" w:rsidP="00000000" w:rsidRDefault="00000000" w:rsidRPr="00000000" w14:paraId="000000DF">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E0">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E1">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E2">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E3">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6.5</w:t>
            </w:r>
          </w:p>
          <w:p w:rsidR="00000000" w:rsidDel="00000000" w:rsidP="00000000" w:rsidRDefault="00000000" w:rsidRPr="00000000" w14:paraId="000000E4">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E5">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E6">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E7">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6.6</w:t>
            </w:r>
          </w:p>
          <w:p w:rsidR="00000000" w:rsidDel="00000000" w:rsidP="00000000" w:rsidRDefault="00000000" w:rsidRPr="00000000" w14:paraId="000000E8">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E9">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EA">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EB">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EC">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ED">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EE">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EF">
            <w:pPr>
              <w:spacing w:line="240" w:lineRule="auto"/>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0F0">
            <w:pPr>
              <w:spacing w:line="240" w:lineRule="auto"/>
              <w:rPr>
                <w:rFonts w:ascii="Calibri" w:cs="Calibri" w:eastAsia="Calibri" w:hAnsi="Calibri"/>
                <w:b w:val="1"/>
                <w:bCs w:val="1"/>
                <w:sz w:val="28"/>
                <w:szCs w:val="28"/>
              </w:rPr>
            </w:pPr>
            <w:r w:rsidDel="00000000" w:rsidR="00000000" w:rsidRPr="00000000">
              <w:rPr>
                <w:rFonts w:ascii="Calibri" w:cs="Calibri" w:eastAsia="Calibri" w:hAnsi="Calibri"/>
                <w:b w:val="1"/>
                <w:bCs w:val="1"/>
                <w:sz w:val="24"/>
                <w:szCs w:val="24"/>
                <w:rtl w:val="0"/>
              </w:rPr>
              <w:t xml:space="preserve">President’s Report</w:t>
            </w:r>
            <w:r w:rsidDel="00000000" w:rsidR="00000000" w:rsidRPr="00000000">
              <w:rPr>
                <w:rFonts w:ascii="Calibri" w:cs="Calibri" w:eastAsia="Calibri" w:hAnsi="Calibri"/>
                <w:b w:val="1"/>
                <w:bCs w:val="1"/>
                <w:color w:val="38761d"/>
                <w:sz w:val="24"/>
                <w:szCs w:val="24"/>
                <w:rtl w:val="0"/>
              </w:rPr>
              <w:t xml:space="preserve"> </w:t>
            </w:r>
            <w:r w:rsidDel="00000000" w:rsidR="00000000" w:rsidRPr="00000000">
              <w:rPr>
                <w:rtl w:val="0"/>
              </w:rPr>
            </w:r>
          </w:p>
          <w:p w:rsidR="00000000" w:rsidDel="00000000" w:rsidP="00000000" w:rsidRDefault="00000000" w:rsidRPr="00000000" w14:paraId="000000F1">
            <w:pPr>
              <w:spacing w:line="240" w:lineRule="auto"/>
              <w:ind w:left="0" w:firstLine="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F2">
            <w:pPr>
              <w:spacing w:line="240" w:lineRule="auto"/>
              <w:ind w:left="0" w:firstLine="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EEOAC Follow-Up—</w:t>
            </w:r>
            <w:r w:rsidDel="00000000" w:rsidR="00000000" w:rsidRPr="00000000">
              <w:rPr>
                <w:rFonts w:ascii="Calibri" w:cs="Calibri" w:eastAsia="Calibri" w:hAnsi="Calibri"/>
                <w:sz w:val="24"/>
                <w:szCs w:val="24"/>
                <w:rtl w:val="0"/>
              </w:rPr>
              <w:t xml:space="preserve">EEO Plan: Faculty representatives serving on the EEEOAC committee were expected to review the plan, share relevant information with the Senate, solicit faculty feedback, and ensure that feedback was communicated before the plan moved forward. The update was retained on the agenda because of an upcoming submission deadline. </w:t>
            </w:r>
          </w:p>
          <w:p w:rsidR="00000000" w:rsidDel="00000000" w:rsidP="00000000" w:rsidRDefault="00000000" w:rsidRPr="00000000" w14:paraId="000000F3">
            <w:pPr>
              <w:spacing w:line="240" w:lineRule="auto"/>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F4">
            <w:pPr>
              <w:spacing w:lin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EEO Advisory Committee will continue examining the information and taking a deeper look at the available data. Faculty are encouraged to review the materials independently, as this information can help inform future conversations about equitable recruitment, hiring practices, representation, and retention across the district. More to follow.</w:t>
            </w:r>
          </w:p>
          <w:p w:rsidR="00000000" w:rsidDel="00000000" w:rsidP="00000000" w:rsidRDefault="00000000" w:rsidRPr="00000000" w14:paraId="000000F5">
            <w:pPr>
              <w:spacing w:after="300" w:before="3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w:t>
            </w:r>
            <w:r w:rsidDel="00000000" w:rsidR="00000000" w:rsidRPr="00000000">
              <w:rPr>
                <w:rFonts w:ascii="Calibri" w:cs="Calibri" w:eastAsia="Calibri" w:hAnsi="Calibri"/>
                <w:b w:val="1"/>
                <w:bCs w:val="1"/>
                <w:sz w:val="24"/>
                <w:szCs w:val="24"/>
                <w:rtl w:val="0"/>
              </w:rPr>
              <w:t xml:space="preserve">Academic Senate Canvas container: </w:t>
            </w:r>
            <w:r w:rsidDel="00000000" w:rsidR="00000000" w:rsidRPr="00000000">
              <w:rPr>
                <w:rFonts w:ascii="Calibri" w:cs="Calibri" w:eastAsia="Calibri" w:hAnsi="Calibri"/>
                <w:sz w:val="24"/>
                <w:szCs w:val="24"/>
                <w:rtl w:val="0"/>
              </w:rPr>
              <w:t xml:space="preserve">The Senate’s Canvas container is established as a centralized repository for Senate resources, announcements, representative information, historical materials, governance documents, and other resources. Materials were being reviewed for accessibility before publication. The public Senate website would continue to provide public-facing information, while Canvas would house more detailed resources for senators and interested faculty. Faculty who were not senators could request access. </w:t>
            </w:r>
          </w:p>
          <w:p w:rsidR="00000000" w:rsidDel="00000000" w:rsidP="00000000" w:rsidRDefault="00000000" w:rsidRPr="00000000" w14:paraId="000000F6">
            <w:pPr>
              <w:spacing w:after="300" w:before="30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Sabbatical Leave:</w:t>
            </w:r>
            <w:r w:rsidDel="00000000" w:rsidR="00000000" w:rsidRPr="00000000">
              <w:rPr>
                <w:rFonts w:ascii="Calibri" w:cs="Calibri" w:eastAsia="Calibri" w:hAnsi="Calibri"/>
                <w:sz w:val="24"/>
                <w:szCs w:val="24"/>
                <w:rtl w:val="0"/>
              </w:rPr>
              <w:t xml:space="preserve"> Faculty were reminded about upcoming sabbatical workshops and encouraged to review the application timeline and requirements. Applications were due November 5 at 5:00 p.m. Personal identifying information would be redacted before committee review to support an equitable evaluation process. It was also noted that 14 sabbatical slots were available across both colleges for the upcoming cycle, following a previous cycle with significantly more applications than available positions. </w:t>
            </w:r>
          </w:p>
          <w:p w:rsidR="00000000" w:rsidDel="00000000" w:rsidP="00000000" w:rsidRDefault="00000000" w:rsidRPr="00000000" w14:paraId="000000F7">
            <w:pPr>
              <w:spacing w:after="300" w:before="30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Timeline for Faculty Hiring:</w:t>
            </w:r>
            <w:r w:rsidDel="00000000" w:rsidR="00000000" w:rsidRPr="00000000">
              <w:rPr>
                <w:rFonts w:ascii="Calibri" w:cs="Calibri" w:eastAsia="Calibri" w:hAnsi="Calibri"/>
                <w:sz w:val="24"/>
                <w:szCs w:val="24"/>
                <w:rtl w:val="0"/>
              </w:rPr>
              <w:t xml:space="preserve"> The faculty hiring timeline was included in the meeting attachments and was to be shared with department chairs. Faculty were encouraged to review the timeline to understand HR’s anticipated hiring process and efforts to remain competitive in recruiting and onboarding faculty. </w:t>
            </w:r>
          </w:p>
          <w:p w:rsidR="00000000" w:rsidDel="00000000" w:rsidP="00000000" w:rsidRDefault="00000000" w:rsidRPr="00000000" w14:paraId="000000F8">
            <w:pPr>
              <w:spacing w:after="0" w:before="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District Services Program Review</w:t>
            </w:r>
          </w:p>
          <w:p w:rsidR="00000000" w:rsidDel="00000000" w:rsidP="00000000" w:rsidRDefault="00000000" w:rsidRPr="00000000" w14:paraId="000000F9">
            <w:pPr>
              <w:spacing w:after="0" w:before="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district evaluated its services and documented the findings and strategies for improvement. The document is available for review in the attachment folder.</w:t>
            </w:r>
          </w:p>
          <w:p w:rsidR="00000000" w:rsidDel="00000000" w:rsidP="00000000" w:rsidRDefault="00000000" w:rsidRPr="00000000" w14:paraId="000000FA">
            <w:pPr>
              <w:spacing w:after="0" w:before="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FB">
            <w:pPr>
              <w:spacing w:after="0" w:before="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FC">
            <w:pPr>
              <w:spacing w:after="0" w:before="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Campus Camera Locations</w:t>
            </w:r>
          </w:p>
          <w:p w:rsidR="00000000" w:rsidDel="00000000" w:rsidP="00000000" w:rsidRDefault="00000000" w:rsidRPr="00000000" w14:paraId="000000FD">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Several informational documents were included as meeting attachments, including institutional priorities, camera operating protocols and locations, the faculty hiring timeline, and District Program Review reports. These items were provided for faculty reference and were not discussed in detail during the meeting. The camera operating protocol was scheduled to return for discussion during the next meeting cycle, with an update on the district's current Phase I implementation and its impact on both colleges.</w:t>
            </w:r>
          </w:p>
        </w:tc>
      </w:tr>
      <w:tr>
        <w:trPr>
          <w:cantSplit w:val="0"/>
          <w:trHeight w:val="1366.875" w:hRule="atLeast"/>
          <w:tblHeader w:val="0"/>
        </w:trPr>
        <w:tc>
          <w:tcPr/>
          <w:p w:rsidR="00000000" w:rsidDel="00000000" w:rsidP="00000000" w:rsidRDefault="00000000" w:rsidRPr="00000000" w14:paraId="000000FE">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7</w:t>
            </w:r>
          </w:p>
          <w:p w:rsidR="00000000" w:rsidDel="00000000" w:rsidP="00000000" w:rsidRDefault="00000000" w:rsidRPr="00000000" w14:paraId="000000FF">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7.1</w:t>
            </w:r>
          </w:p>
          <w:p w:rsidR="00000000" w:rsidDel="00000000" w:rsidP="00000000" w:rsidRDefault="00000000" w:rsidRPr="00000000" w14:paraId="00000100">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01">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02">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03">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04">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05">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06">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7.2</w:t>
            </w:r>
          </w:p>
          <w:p w:rsidR="00000000" w:rsidDel="00000000" w:rsidP="00000000" w:rsidRDefault="00000000" w:rsidRPr="00000000" w14:paraId="00000107">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08">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09">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0A">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0B">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0C">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0D">
            <w:pPr>
              <w:spacing w:line="36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7.3</w:t>
            </w:r>
          </w:p>
          <w:p w:rsidR="00000000" w:rsidDel="00000000" w:rsidP="00000000" w:rsidRDefault="00000000" w:rsidRPr="00000000" w14:paraId="0000010E">
            <w:pPr>
              <w:spacing w:line="36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7.4</w:t>
            </w:r>
          </w:p>
          <w:p w:rsidR="00000000" w:rsidDel="00000000" w:rsidP="00000000" w:rsidRDefault="00000000" w:rsidRPr="00000000" w14:paraId="0000010F">
            <w:pPr>
              <w:spacing w:line="36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110">
            <w:pPr>
              <w:spacing w:line="36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11">
            <w:pPr>
              <w:spacing w:line="36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12">
            <w:pPr>
              <w:spacing w:line="36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7.5</w:t>
            </w:r>
          </w:p>
          <w:p w:rsidR="00000000" w:rsidDel="00000000" w:rsidP="00000000" w:rsidRDefault="00000000" w:rsidRPr="00000000" w14:paraId="00000113">
            <w:pPr>
              <w:spacing w:line="36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7.6 </w:t>
            </w:r>
          </w:p>
        </w:tc>
        <w:tc>
          <w:tcPr/>
          <w:p w:rsidR="00000000" w:rsidDel="00000000" w:rsidP="00000000" w:rsidRDefault="00000000" w:rsidRPr="00000000" w14:paraId="00000114">
            <w:pPr>
              <w:spacing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Information Items</w:t>
            </w:r>
          </w:p>
          <w:p w:rsidR="00000000" w:rsidDel="00000000" w:rsidP="00000000" w:rsidRDefault="00000000" w:rsidRPr="00000000" w14:paraId="00000115">
            <w:pPr>
              <w:spacing w:lin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MOU Process</w:t>
            </w:r>
            <w:r w:rsidDel="00000000" w:rsidR="00000000" w:rsidRPr="00000000">
              <w:rPr>
                <w:rtl w:val="0"/>
              </w:rPr>
            </w:r>
          </w:p>
          <w:p w:rsidR="00000000" w:rsidDel="00000000" w:rsidP="00000000" w:rsidRDefault="00000000" w:rsidRPr="00000000" w14:paraId="00000116">
            <w:pPr>
              <w:spacing w:after="300" w:before="300" w:lineRule="auto"/>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A previously discussed and tabled MOU process document was brought back for review. Senators were asked to share the document with their respective departments and divisions, gather feedback and questions, and return that input before the item moved forward for formal Senate action. </w:t>
            </w:r>
            <w:r w:rsidDel="00000000" w:rsidR="00000000" w:rsidRPr="00000000">
              <w:rPr>
                <w:rtl w:val="0"/>
              </w:rPr>
            </w:r>
          </w:p>
          <w:p w:rsidR="00000000" w:rsidDel="00000000" w:rsidP="00000000" w:rsidRDefault="00000000" w:rsidRPr="00000000" w14:paraId="00000117">
            <w:pPr>
              <w:spacing w:lin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AP 7211 and Minimum Qualifications:</w:t>
            </w:r>
            <w:r w:rsidDel="00000000" w:rsidR="00000000" w:rsidRPr="00000000">
              <w:rPr>
                <w:rFonts w:ascii="Calibri" w:cs="Calibri" w:eastAsia="Calibri" w:hAnsi="Calibri"/>
                <w:sz w:val="24"/>
                <w:szCs w:val="24"/>
                <w:rtl w:val="0"/>
              </w:rPr>
              <w:t xml:space="preserve"> Additional consultation was being requested with Human Resources regarding AP 7211. A Zoom session was anticipated to provide faculty with an opportunity to better understand minimum qualifications (MQs) and equivalency-related processes before the AP was finalized. Details would be distributed once a date was confirmed. Please review and share with constituents.</w:t>
            </w:r>
          </w:p>
          <w:p w:rsidR="00000000" w:rsidDel="00000000" w:rsidP="00000000" w:rsidRDefault="00000000" w:rsidRPr="00000000" w14:paraId="00000118">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19">
            <w:pPr>
              <w:spacing w:line="36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AP/BP 7333-Return to Work Procedure</w:t>
            </w:r>
          </w:p>
          <w:p w:rsidR="00000000" w:rsidDel="00000000" w:rsidP="00000000" w:rsidRDefault="00000000" w:rsidRPr="00000000" w14:paraId="0000011A">
            <w:pPr>
              <w:spacing w:line="36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AP 7150 (New) Evaluation</w:t>
            </w:r>
          </w:p>
          <w:p w:rsidR="00000000" w:rsidDel="00000000" w:rsidP="00000000" w:rsidRDefault="00000000" w:rsidRPr="00000000" w14:paraId="0000011B">
            <w:pPr>
              <w:spacing w:lin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Administrative Procedures:</w:t>
            </w:r>
            <w:r w:rsidDel="00000000" w:rsidR="00000000" w:rsidRPr="00000000">
              <w:rPr>
                <w:rFonts w:ascii="Calibri" w:cs="Calibri" w:eastAsia="Calibri" w:hAnsi="Calibri"/>
                <w:sz w:val="24"/>
                <w:szCs w:val="24"/>
                <w:rtl w:val="0"/>
              </w:rPr>
              <w:t xml:space="preserve"> Faculty were asked to review </w:t>
            </w:r>
            <w:r w:rsidDel="00000000" w:rsidR="00000000" w:rsidRPr="00000000">
              <w:rPr>
                <w:rFonts w:ascii="Calibri" w:cs="Calibri" w:eastAsia="Calibri" w:hAnsi="Calibri"/>
                <w:b w:val="1"/>
                <w:bCs w:val="1"/>
                <w:sz w:val="24"/>
                <w:szCs w:val="24"/>
                <w:rtl w:val="0"/>
              </w:rPr>
              <w:t xml:space="preserve">AP 7211, AP 7333, and AP 7150</w:t>
            </w:r>
            <w:r w:rsidDel="00000000" w:rsidR="00000000" w:rsidRPr="00000000">
              <w:rPr>
                <w:rFonts w:ascii="Calibri" w:cs="Calibri" w:eastAsia="Calibri" w:hAnsi="Calibri"/>
                <w:sz w:val="24"/>
                <w:szCs w:val="24"/>
                <w:rtl w:val="0"/>
              </w:rPr>
              <w:t xml:space="preserve">, which were included in the meeting attachments. AP 7333 continued a previous discussion related to AP 7150 and evaluation. </w:t>
            </w:r>
          </w:p>
          <w:p w:rsidR="00000000" w:rsidDel="00000000" w:rsidP="00000000" w:rsidRDefault="00000000" w:rsidRPr="00000000" w14:paraId="0000011C">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11D">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Peer-to-Peer Anonymous</w:t>
            </w:r>
            <w:hyperlink r:id="rId10">
              <w:r w:rsidDel="00000000" w:rsidR="00000000" w:rsidRPr="00000000">
                <w:rPr>
                  <w:rFonts w:ascii="Calibri" w:cs="Calibri" w:eastAsia="Calibri" w:hAnsi="Calibri"/>
                  <w:color w:val="1155cc"/>
                  <w:sz w:val="24"/>
                  <w:szCs w:val="24"/>
                  <w:u w:val="single"/>
                  <w:rtl w:val="0"/>
                </w:rPr>
                <w:t xml:space="preserve"> Reporting Form</w:t>
              </w:r>
            </w:hyperlink>
            <w:r w:rsidDel="00000000" w:rsidR="00000000" w:rsidRPr="00000000">
              <w:rPr>
                <w:rtl w:val="0"/>
              </w:rPr>
            </w:r>
          </w:p>
          <w:p w:rsidR="00000000" w:rsidDel="00000000" w:rsidP="00000000" w:rsidRDefault="00000000" w:rsidRPr="00000000" w14:paraId="0000011E">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11F">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Hierarchical</w:t>
            </w:r>
            <w:hyperlink r:id="rId11">
              <w:r w:rsidDel="00000000" w:rsidR="00000000" w:rsidRPr="00000000">
                <w:rPr>
                  <w:rFonts w:ascii="Calibri" w:cs="Calibri" w:eastAsia="Calibri" w:hAnsi="Calibri"/>
                  <w:color w:val="1155cc"/>
                  <w:sz w:val="24"/>
                  <w:szCs w:val="24"/>
                  <w:u w:val="single"/>
                  <w:rtl w:val="0"/>
                </w:rPr>
                <w:t xml:space="preserve"> Anonymous Reporting Form</w:t>
              </w:r>
            </w:hyperlink>
            <w:r w:rsidDel="00000000" w:rsidR="00000000" w:rsidRPr="00000000">
              <w:rPr>
                <w:rtl w:val="0"/>
              </w:rPr>
            </w:r>
          </w:p>
          <w:p w:rsidR="00000000" w:rsidDel="00000000" w:rsidP="00000000" w:rsidRDefault="00000000" w:rsidRPr="00000000" w14:paraId="00000120">
            <w:pPr>
              <w:spacing w:after="240" w:before="240" w:lin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Peer-to-Peer Reporting</w:t>
            </w:r>
            <w:r w:rsidDel="00000000" w:rsidR="00000000" w:rsidRPr="00000000">
              <w:rPr>
                <w:rFonts w:ascii="Calibri" w:cs="Calibri" w:eastAsia="Calibri" w:hAnsi="Calibri"/>
                <w:b w:val="1"/>
                <w:bCs w:val="1"/>
                <w:sz w:val="24"/>
                <w:szCs w:val="24"/>
                <w:rtl w:val="0"/>
              </w:rPr>
              <w:t xml:space="preserve">:</w:t>
            </w:r>
            <w:r w:rsidDel="00000000" w:rsidR="00000000" w:rsidRPr="00000000">
              <w:rPr>
                <w:rFonts w:ascii="Calibri" w:cs="Calibri" w:eastAsia="Calibri" w:hAnsi="Calibri"/>
                <w:sz w:val="24"/>
                <w:szCs w:val="24"/>
                <w:rtl w:val="0"/>
              </w:rPr>
              <w:t xml:space="preserve"> Faculty were reminded to review the proposed peer-to-peer reporting document that had been discussed during the previous semester. The document was expected to return for a more comprehensive discussion after faculty had an opportunity to review it.</w:t>
            </w:r>
          </w:p>
          <w:p w:rsidR="00000000" w:rsidDel="00000000" w:rsidP="00000000" w:rsidRDefault="00000000" w:rsidRPr="00000000" w14:paraId="00000121">
            <w:pPr>
              <w:spacing w:after="240" w:before="24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Senators were encouraged to complete their review of these materials, engage their constituents, and bring feedback forward for subsequent Senate discussion and action.</w:t>
            </w:r>
            <w:r w:rsidDel="00000000" w:rsidR="00000000" w:rsidRPr="00000000">
              <w:rPr>
                <w:rtl w:val="0"/>
              </w:rPr>
            </w:r>
          </w:p>
        </w:tc>
      </w:tr>
      <w:tr>
        <w:trPr>
          <w:cantSplit w:val="0"/>
          <w:tblHeader w:val="0"/>
        </w:trPr>
        <w:tc>
          <w:tcPr/>
          <w:p w:rsidR="00000000" w:rsidDel="00000000" w:rsidP="00000000" w:rsidRDefault="00000000" w:rsidRPr="00000000" w14:paraId="00000122">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9</w:t>
            </w:r>
          </w:p>
          <w:p w:rsidR="00000000" w:rsidDel="00000000" w:rsidP="00000000" w:rsidRDefault="00000000" w:rsidRPr="00000000" w14:paraId="00000123">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9.1</w:t>
            </w:r>
          </w:p>
        </w:tc>
        <w:tc>
          <w:tcPr/>
          <w:p w:rsidR="00000000" w:rsidDel="00000000" w:rsidP="00000000" w:rsidRDefault="00000000" w:rsidRPr="00000000" w14:paraId="00000124">
            <w:pPr>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Action Items</w:t>
            </w:r>
          </w:p>
          <w:p w:rsidR="00000000" w:rsidDel="00000000" w:rsidP="00000000" w:rsidRDefault="00000000" w:rsidRPr="00000000" w14:paraId="00000125">
            <w:pPr>
              <w:spacing w:line="240" w:lineRule="auto"/>
              <w:rPr>
                <w:rFonts w:ascii="Calibri" w:cs="Calibri" w:eastAsia="Calibri" w:hAnsi="Calibri"/>
                <w:b w:val="1"/>
                <w:bCs w:val="1"/>
                <w:color w:val="38761d"/>
                <w:sz w:val="24"/>
                <w:szCs w:val="24"/>
              </w:rPr>
            </w:pPr>
            <w:r w:rsidDel="00000000" w:rsidR="00000000" w:rsidRPr="00000000">
              <w:rPr>
                <w:rFonts w:ascii="Calibri" w:cs="Calibri" w:eastAsia="Calibri" w:hAnsi="Calibri"/>
                <w:b w:val="1"/>
                <w:bCs w:val="1"/>
                <w:sz w:val="24"/>
                <w:szCs w:val="24"/>
                <w:rtl w:val="0"/>
              </w:rPr>
              <w:t xml:space="preserve">None</w:t>
            </w:r>
            <w:r w:rsidDel="00000000" w:rsidR="00000000" w:rsidRPr="00000000">
              <w:rPr>
                <w:rtl w:val="0"/>
              </w:rPr>
            </w:r>
          </w:p>
        </w:tc>
      </w:tr>
      <w:tr>
        <w:trPr>
          <w:cantSplit w:val="0"/>
          <w:trHeight w:val="780.9375" w:hRule="atLeast"/>
          <w:tblHeader w:val="0"/>
        </w:trPr>
        <w:tc>
          <w:tcPr/>
          <w:p w:rsidR="00000000" w:rsidDel="00000000" w:rsidP="00000000" w:rsidRDefault="00000000" w:rsidRPr="00000000" w14:paraId="00000126">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10.1</w:t>
            </w:r>
          </w:p>
          <w:p w:rsidR="00000000" w:rsidDel="00000000" w:rsidP="00000000" w:rsidRDefault="00000000" w:rsidRPr="00000000" w14:paraId="00000127">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28">
            <w:pPr>
              <w:spacing w:line="36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10.2</w:t>
            </w:r>
          </w:p>
        </w:tc>
        <w:tc>
          <w:tcPr/>
          <w:p w:rsidR="00000000" w:rsidDel="00000000" w:rsidP="00000000" w:rsidRDefault="00000000" w:rsidRPr="00000000" w14:paraId="00000129">
            <w:pPr>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Vice-President’s Report/Unfinished Business</w:t>
            </w:r>
          </w:p>
          <w:p w:rsidR="00000000" w:rsidDel="00000000" w:rsidP="00000000" w:rsidRDefault="00000000" w:rsidRPr="00000000" w14:paraId="0000012A">
            <w:pPr>
              <w:tabs>
                <w:tab w:val="left" w:leader="none" w:pos="972"/>
              </w:tabs>
              <w:spacing w:line="36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Participatory Governance (open active recruitments)</w:t>
            </w:r>
          </w:p>
          <w:p w:rsidR="00000000" w:rsidDel="00000000" w:rsidP="00000000" w:rsidRDefault="00000000" w:rsidRPr="00000000" w14:paraId="0000012B">
            <w:pPr>
              <w:tabs>
                <w:tab w:val="left" w:leader="none" w:pos="972"/>
              </w:tabs>
              <w:spacing w:line="360" w:lineRule="auto"/>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Senators (updating dept/division reps, specifically counseling)</w:t>
            </w:r>
            <w:r w:rsidDel="00000000" w:rsidR="00000000" w:rsidRPr="00000000">
              <w:rPr>
                <w:rtl w:val="0"/>
              </w:rPr>
            </w:r>
          </w:p>
        </w:tc>
      </w:tr>
      <w:tr>
        <w:trPr>
          <w:cantSplit w:val="0"/>
          <w:trHeight w:val="780.9375" w:hRule="atLeast"/>
          <w:tblHeader w:val="0"/>
        </w:trPr>
        <w:tc>
          <w:tcPr/>
          <w:p w:rsidR="00000000" w:rsidDel="00000000" w:rsidP="00000000" w:rsidRDefault="00000000" w:rsidRPr="00000000" w14:paraId="0000012C">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11</w:t>
            </w:r>
          </w:p>
          <w:p w:rsidR="00000000" w:rsidDel="00000000" w:rsidP="00000000" w:rsidRDefault="00000000" w:rsidRPr="00000000" w14:paraId="0000012D">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11.1</w:t>
            </w:r>
          </w:p>
          <w:p w:rsidR="00000000" w:rsidDel="00000000" w:rsidP="00000000" w:rsidRDefault="00000000" w:rsidRPr="00000000" w14:paraId="0000012E">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2F">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30">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11.2</w:t>
            </w:r>
          </w:p>
          <w:p w:rsidR="00000000" w:rsidDel="00000000" w:rsidP="00000000" w:rsidRDefault="00000000" w:rsidRPr="00000000" w14:paraId="00000131">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32">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11.3</w:t>
            </w:r>
          </w:p>
        </w:tc>
        <w:tc>
          <w:tcPr/>
          <w:p w:rsidR="00000000" w:rsidDel="00000000" w:rsidP="00000000" w:rsidRDefault="00000000" w:rsidRPr="00000000" w14:paraId="00000133">
            <w:pPr>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Future Agenda Items </w:t>
            </w:r>
          </w:p>
          <w:p w:rsidR="00000000" w:rsidDel="00000000" w:rsidP="00000000" w:rsidRDefault="00000000" w:rsidRPr="00000000" w14:paraId="00000134">
            <w:pPr>
              <w:tabs>
                <w:tab w:val="left" w:leader="none" w:pos="972"/>
              </w:tabs>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Presentation on Instructional Effectiveness- PIEC</w:t>
            </w:r>
          </w:p>
          <w:p w:rsidR="00000000" w:rsidDel="00000000" w:rsidP="00000000" w:rsidRDefault="00000000" w:rsidRPr="00000000" w14:paraId="00000135">
            <w:pPr>
              <w:tabs>
                <w:tab w:val="left" w:leader="none" w:pos="972"/>
              </w:tabs>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Presentation on CPL—E. Wirig</w:t>
            </w:r>
          </w:p>
          <w:p w:rsidR="00000000" w:rsidDel="00000000" w:rsidP="00000000" w:rsidRDefault="00000000" w:rsidRPr="00000000" w14:paraId="00000136">
            <w:pPr>
              <w:tabs>
                <w:tab w:val="left" w:leader="none" w:pos="972"/>
              </w:tabs>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137">
            <w:pPr>
              <w:tabs>
                <w:tab w:val="left" w:leader="none" w:pos="972"/>
              </w:tabs>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Participatory Governance Committee Members Roster Update</w:t>
            </w:r>
          </w:p>
          <w:p w:rsidR="00000000" w:rsidDel="00000000" w:rsidP="00000000" w:rsidRDefault="00000000" w:rsidRPr="00000000" w14:paraId="00000138">
            <w:pPr>
              <w:tabs>
                <w:tab w:val="left" w:leader="none" w:pos="972"/>
              </w:tabs>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39">
            <w:pPr>
              <w:tabs>
                <w:tab w:val="left" w:leader="none" w:pos="972"/>
              </w:tabs>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Senate President Election Timeline</w:t>
            </w:r>
          </w:p>
        </w:tc>
      </w:tr>
      <w:tr>
        <w:trPr>
          <w:cantSplit w:val="0"/>
          <w:tblHeader w:val="0"/>
        </w:trPr>
        <w:tc>
          <w:tcPr/>
          <w:p w:rsidR="00000000" w:rsidDel="00000000" w:rsidP="00000000" w:rsidRDefault="00000000" w:rsidRPr="00000000" w14:paraId="0000013A">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12</w:t>
            </w:r>
          </w:p>
        </w:tc>
        <w:tc>
          <w:tcPr/>
          <w:p w:rsidR="00000000" w:rsidDel="00000000" w:rsidP="00000000" w:rsidRDefault="00000000" w:rsidRPr="00000000" w14:paraId="0000013B">
            <w:pPr>
              <w:rPr>
                <w:color w:val="434343"/>
                <w:sz w:val="24"/>
                <w:szCs w:val="24"/>
                <w:highlight w:val="white"/>
              </w:rPr>
            </w:pPr>
            <w:r w:rsidDel="00000000" w:rsidR="00000000" w:rsidRPr="00000000">
              <w:rPr>
                <w:rFonts w:ascii="Calibri" w:cs="Calibri" w:eastAsia="Calibri" w:hAnsi="Calibri"/>
                <w:b w:val="1"/>
                <w:bCs w:val="1"/>
                <w:color w:val="47802e"/>
                <w:sz w:val="24"/>
                <w:szCs w:val="24"/>
                <w:rtl w:val="0"/>
              </w:rPr>
              <w:t xml:space="preserve">ASCCC Webinars, Announcements, and Resources</w:t>
            </w:r>
            <w:r w:rsidDel="00000000" w:rsidR="00000000" w:rsidRPr="00000000">
              <w:rPr>
                <w:rtl w:val="0"/>
              </w:rPr>
            </w:r>
          </w:p>
          <w:p w:rsidR="00000000" w:rsidDel="00000000" w:rsidP="00000000" w:rsidRDefault="00000000" w:rsidRPr="00000000" w14:paraId="0000013C">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3D">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September 22–25, </w:t>
            </w:r>
          </w:p>
          <w:p w:rsidR="00000000" w:rsidDel="00000000" w:rsidP="00000000" w:rsidRDefault="00000000" w:rsidRPr="00000000" w14:paraId="0000013E">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2026, Collective Equity Impact (CEI) Institute, in Anaheim, CA. </w:t>
            </w:r>
          </w:p>
          <w:p w:rsidR="00000000" w:rsidDel="00000000" w:rsidP="00000000" w:rsidRDefault="00000000" w:rsidRPr="00000000" w14:paraId="0000013F">
            <w:pPr>
              <w:rPr>
                <w:rFonts w:ascii="Calibri" w:cs="Calibri" w:eastAsia="Calibri" w:hAnsi="Calibri"/>
                <w:sz w:val="24"/>
                <w:szCs w:val="24"/>
              </w:rPr>
            </w:pPr>
            <w:hyperlink r:id="rId12">
              <w:r w:rsidDel="00000000" w:rsidR="00000000" w:rsidRPr="00000000">
                <w:rPr>
                  <w:rFonts w:ascii="Calibri" w:cs="Calibri" w:eastAsia="Calibri" w:hAnsi="Calibri"/>
                  <w:color w:val="1155cc"/>
                  <w:sz w:val="24"/>
                  <w:szCs w:val="24"/>
                  <w:u w:val="single"/>
                  <w:rtl w:val="0"/>
                </w:rPr>
                <w:t xml:space="preserve">Collective Equity Impact Institute.com</w:t>
              </w:r>
            </w:hyperlink>
            <w:r w:rsidDel="00000000" w:rsidR="00000000" w:rsidRPr="00000000">
              <w:rPr>
                <w:rFonts w:ascii="Calibri" w:cs="Calibri" w:eastAsia="Calibri" w:hAnsi="Calibri"/>
                <w:sz w:val="24"/>
                <w:szCs w:val="24"/>
                <w:rtl w:val="0"/>
              </w:rPr>
              <w:t xml:space="preserve"> </w:t>
            </w:r>
          </w:p>
        </w:tc>
      </w:tr>
      <w:tr>
        <w:trPr>
          <w:cantSplit w:val="0"/>
          <w:tblHeader w:val="0"/>
        </w:trPr>
        <w:tc>
          <w:tcPr/>
          <w:p w:rsidR="00000000" w:rsidDel="00000000" w:rsidP="00000000" w:rsidRDefault="00000000" w:rsidRPr="00000000" w14:paraId="00000140">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13</w:t>
            </w:r>
          </w:p>
        </w:tc>
        <w:tc>
          <w:tcPr/>
          <w:p w:rsidR="00000000" w:rsidDel="00000000" w:rsidP="00000000" w:rsidRDefault="00000000" w:rsidRPr="00000000" w14:paraId="00000141">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Adjournment:  </w:t>
            </w:r>
          </w:p>
          <w:p w:rsidR="00000000" w:rsidDel="00000000" w:rsidP="00000000" w:rsidRDefault="00000000" w:rsidRPr="00000000" w14:paraId="00000142">
            <w:pPr>
              <w:rPr>
                <w:rFonts w:ascii="Calibri" w:cs="Calibri" w:eastAsia="Calibri" w:hAnsi="Calibri"/>
                <w:sz w:val="24"/>
                <w:szCs w:val="24"/>
                <w:highlight w:val="yellow"/>
              </w:rPr>
            </w:pPr>
            <w:r w:rsidDel="00000000" w:rsidR="00000000" w:rsidRPr="00000000">
              <w:rPr>
                <w:rFonts w:ascii="Calibri" w:cs="Calibri" w:eastAsia="Calibri" w:hAnsi="Calibri"/>
                <w:b w:val="1"/>
                <w:bCs w:val="1"/>
                <w:sz w:val="24"/>
                <w:szCs w:val="24"/>
                <w:rtl w:val="0"/>
              </w:rPr>
              <w:t xml:space="preserve">VOTE:</w:t>
            </w:r>
            <w:r w:rsidDel="00000000" w:rsidR="00000000" w:rsidRPr="00000000">
              <w:rPr>
                <w:rFonts w:ascii="Calibri" w:cs="Calibri" w:eastAsia="Calibri" w:hAnsi="Calibri"/>
                <w:sz w:val="24"/>
                <w:szCs w:val="24"/>
                <w:rtl w:val="0"/>
              </w:rPr>
              <w:t xml:space="preserve">  Motion to adjourn (A. Traylor &amp; R. Garcia)</w:t>
            </w:r>
            <w:r w:rsidDel="00000000" w:rsidR="00000000" w:rsidRPr="00000000">
              <w:rPr>
                <w:rtl w:val="0"/>
              </w:rPr>
            </w:r>
          </w:p>
          <w:p w:rsidR="00000000" w:rsidDel="00000000" w:rsidP="00000000" w:rsidRDefault="00000000" w:rsidRPr="00000000" w14:paraId="00000143">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meeting adjourned at 12:21.</w:t>
            </w:r>
          </w:p>
          <w:p w:rsidR="00000000" w:rsidDel="00000000" w:rsidP="00000000" w:rsidRDefault="00000000" w:rsidRPr="00000000" w14:paraId="00000144">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45">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Next meeting: October 5, 2026</w:t>
            </w:r>
          </w:p>
        </w:tc>
      </w:tr>
    </w:tbl>
    <w:p w:rsidR="00000000" w:rsidDel="00000000" w:rsidP="00000000" w:rsidRDefault="00000000" w:rsidRPr="00000000" w14:paraId="00000146">
      <w:pPr>
        <w:spacing w:after="160" w:line="259" w:lineRule="auto"/>
        <w:rPr>
          <w:rFonts w:ascii="Calibri" w:cs="Calibri" w:eastAsia="Calibri" w:hAnsi="Calibri"/>
          <w:sz w:val="24"/>
          <w:szCs w:val="24"/>
          <w:u w:val="single"/>
        </w:rPr>
      </w:pPr>
      <w:r w:rsidDel="00000000" w:rsidR="00000000" w:rsidRPr="00000000">
        <w:rPr>
          <w:rtl w:val="0"/>
        </w:rPr>
      </w:r>
    </w:p>
    <w:p w:rsidR="00000000" w:rsidDel="00000000" w:rsidP="00000000" w:rsidRDefault="00000000" w:rsidRPr="00000000" w14:paraId="00000147">
      <w:pPr>
        <w:spacing w:after="160" w:line="259" w:lineRule="auto"/>
        <w:rPr>
          <w:rFonts w:ascii="Calibri" w:cs="Calibri" w:eastAsia="Calibri" w:hAnsi="Calibri"/>
          <w:color w:val="47802e"/>
          <w:sz w:val="24"/>
          <w:szCs w:val="24"/>
        </w:rPr>
      </w:pPr>
      <w:r w:rsidDel="00000000" w:rsidR="00000000" w:rsidRPr="00000000">
        <w:rPr>
          <w:rFonts w:ascii="Calibri" w:cs="Calibri" w:eastAsia="Calibri" w:hAnsi="Calibri"/>
          <w:sz w:val="24"/>
          <w:szCs w:val="24"/>
          <w:u w:val="single"/>
          <w:rtl w:val="0"/>
        </w:rPr>
        <w:t xml:space="preserve">Committee Representative Communication &amp; Feedback Form (Responses) 6/1/26</w:t>
      </w:r>
      <w:r w:rsidDel="00000000" w:rsidR="00000000" w:rsidRPr="00000000">
        <w:rPr>
          <w:rtl w:val="0"/>
        </w:rPr>
      </w:r>
    </w:p>
    <w:p w:rsidR="00000000" w:rsidDel="00000000" w:rsidP="00000000" w:rsidRDefault="00000000" w:rsidRPr="00000000" w14:paraId="00000148">
      <w:pPr>
        <w:spacing w:after="160" w:line="259" w:lineRule="auto"/>
        <w:rPr>
          <w:rFonts w:ascii="Calibri" w:cs="Calibri" w:eastAsia="Calibri" w:hAnsi="Calibri"/>
          <w:sz w:val="24"/>
          <w:szCs w:val="24"/>
        </w:rPr>
      </w:pPr>
      <w:r w:rsidDel="00000000" w:rsidR="00000000" w:rsidRPr="00000000">
        <w:rPr>
          <w:rtl w:val="0"/>
        </w:rPr>
      </w:r>
    </w:p>
    <w:sectPr>
      <w:headerReference r:id="rId13" w:type="default"/>
      <w:headerReference r:id="rId14" w:type="first"/>
      <w:headerReference r:id="rId15" w:type="even"/>
      <w:footerReference r:id="rId16" w:type="first"/>
      <w:footerReference r:id="rId17" w:type="even"/>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C">
    <w:pPr>
      <w:pBdr>
        <w:top w:space="0" w:sz="0" w:val="nil"/>
        <w:left w:space="0" w:sz="0" w:val="nil"/>
        <w:bottom w:space="0" w:sz="0" w:val="nil"/>
        <w:right w:space="0" w:sz="0" w:val="nil"/>
        <w:between w:space="0" w:sz="0" w:val="nil"/>
      </w:pBdr>
      <w:tabs>
        <w:tab w:val="center" w:leader="none" w:pos="4680"/>
        <w:tab w:val="right" w:leader="none" w:pos="9360"/>
      </w:tabs>
      <w:spacing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D">
    <w:pPr>
      <w:pBdr>
        <w:top w:space="0" w:sz="0" w:val="nil"/>
        <w:left w:space="0" w:sz="0" w:val="nil"/>
        <w:bottom w:space="0" w:sz="0" w:val="nil"/>
        <w:right w:space="0" w:sz="0" w:val="nil"/>
        <w:between w:space="0" w:sz="0" w:val="nil"/>
      </w:pBdr>
      <w:tabs>
        <w:tab w:val="center" w:leader="none" w:pos="4680"/>
        <w:tab w:val="right" w:leader="none" w:pos="9360"/>
      </w:tabs>
      <w:spacing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9">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A">
    <w:pPr>
      <w:pBdr>
        <w:top w:space="0" w:sz="0" w:val="nil"/>
        <w:left w:space="0" w:sz="0" w:val="nil"/>
        <w:bottom w:space="0" w:sz="0" w:val="nil"/>
        <w:right w:space="0" w:sz="0" w:val="nil"/>
        <w:between w:space="0" w:sz="0" w:val="nil"/>
      </w:pBdr>
      <w:tabs>
        <w:tab w:val="center" w:leader="none" w:pos="4680"/>
        <w:tab w:val="right" w:leader="none" w:pos="9360"/>
      </w:tabs>
      <w:spacing w:line="240" w:lineRule="auto"/>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B">
    <w:pPr>
      <w:pBdr>
        <w:top w:space="0" w:sz="0" w:val="nil"/>
        <w:left w:space="0" w:sz="0" w:val="nil"/>
        <w:bottom w:space="0" w:sz="0" w:val="nil"/>
        <w:right w:space="0" w:sz="0" w:val="nil"/>
        <w:between w:space="0" w:sz="0" w:val="nil"/>
      </w:pBdr>
      <w:tabs>
        <w:tab w:val="center" w:leader="none" w:pos="4680"/>
        <w:tab w:val="right" w:leader="none" w:pos="9360"/>
      </w:tabs>
      <w:spacing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pPr>
      <w:spacing w:line="240" w:lineRule="auto"/>
    </w:pPr>
    <w:tblPr>
      <w:tblStyleRowBandSize w:val="1"/>
      <w:tblStyleColBandSize w:val="1"/>
      <w:tblCellMar>
        <w:top w:w="100.0" w:type="dxa"/>
        <w:left w:w="0.0" w:type="dxa"/>
        <w:bottom w:w="100.0" w:type="dxa"/>
        <w:right w:w="0.0" w:type="dxa"/>
      </w:tblCellMar>
    </w:tblPr>
  </w:style>
  <w:style w:type="table" w:styleId="Table2">
    <w:basedOn w:val="TableNormal"/>
    <w:tblPr>
      <w:tblStyleRowBandSize w:val="1"/>
      <w:tblStyleColBandSize w:val="1"/>
      <w:tblCellMar/>
    </w:tblPr>
  </w:style>
  <w:style w:type="table" w:styleId="Table1">
    <w:basedOn w:val="TableNormal"/>
    <w:pPr>
      <w:spacing w:line="240" w:lineRule="auto"/>
    </w:pPr>
    <w:tblPr>
      <w:tblStyleRowBandSize w:val="1"/>
      <w:tblStyleColBandSize w:val="1"/>
      <w:tblCellMar>
        <w:top w:w="100.0" w:type="dxa"/>
        <w:left w:w="0.0" w:type="dxa"/>
        <w:bottom w:w="100.0" w:type="dxa"/>
        <w:right w:w="0.0" w:type="dxa"/>
      </w:tblCellMar>
    </w:tblPr>
  </w:style>
  <w:style w:type="table" w:styleId="Table1">
    <w:basedOn w:val="TableNormal"/>
    <w:pPr>
      <w:spacing w:line="240" w:lineRule="auto"/>
    </w:pPr>
    <w:tblPr>
      <w:tblStyleRowBandSize w:val="1"/>
      <w:tblStyleColBandSize w:val="1"/>
      <w:tblCellMar>
        <w:top w:w="100.0" w:type="dxa"/>
        <w:left w:w="0.0" w:type="dxa"/>
        <w:bottom w:w="100.0" w:type="dxa"/>
        <w:right w:w="0.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pPr>
      <w:spacing w:line="240" w:lineRule="auto"/>
    </w:pPr>
    <w:tblPr>
      <w:tblStyleRowBandSize w:val="1"/>
      <w:tblStyleColBandSize w:val="1"/>
      <w:tblCellMar>
        <w:top w:w="100.0" w:type="dxa"/>
        <w:left w:w="0.0" w:type="dxa"/>
        <w:bottom w:w="10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forms.gle/zFpmspiYL2QsMg3s8" TargetMode="External"/><Relationship Id="rId10" Type="http://schemas.openxmlformats.org/officeDocument/2006/relationships/hyperlink" Target="https://forms.gle/eFQPHJ1hBDfFvzgN6" TargetMode="External"/><Relationship Id="rId13" Type="http://schemas.openxmlformats.org/officeDocument/2006/relationships/header" Target="header1.xml"/><Relationship Id="rId12" Type="http://schemas.openxmlformats.org/officeDocument/2006/relationships/hyperlink" Target="https://collectiveequityimpactinstitute.com/registration/"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rive.google.com/drive/folders/1MsOfAYhBbs3bURxMf_SHY2zhweE6hCHe?usp=drive_link" TargetMode="External"/><Relationship Id="rId15" Type="http://schemas.openxmlformats.org/officeDocument/2006/relationships/header" Target="header3.xml"/><Relationship Id="rId14" Type="http://schemas.openxmlformats.org/officeDocument/2006/relationships/header" Target="header2.xml"/><Relationship Id="rId17" Type="http://schemas.openxmlformats.org/officeDocument/2006/relationships/footer" Target="footer2.xm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9n1EJ5/Zqo/XtZlin9NC/3UkCA==">CgMxLjAyDmguMWc0ZmQ0bnJlYzEwMg5oLnRiMm0weXg4ZHF0bTIOaC44YjA1MmhubHduZmwyDmguNXowaW8xcHV4dTY5Mg5oLnF6dzNxc2Vxam9xbTIOaC41bXQwcG92ZnVlb3U4AHIhMWpRRFkxLVBoMklsNnBIYjZHX2tyNVhtTW5XMEJzcWFx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