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widowControl w:val="0"/>
        <w:jc w:val="left"/>
        <w:rPr/>
      </w:pPr>
      <w:r w:rsidDel="00000000" w:rsidR="00000000" w:rsidRPr="00000000">
        <w:rPr>
          <w:rtl w:val="0"/>
        </w:rPr>
      </w:r>
    </w:p>
    <w:p w:rsidR="00000000" w:rsidDel="00000000" w:rsidP="00000000" w:rsidRDefault="00000000" w:rsidRPr="00000000" w14:paraId="0000000A">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8"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C">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E">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0">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March 2, 2026</w:t>
            </w:r>
          </w:p>
        </w:tc>
      </w:tr>
      <w:tr>
        <w:trPr>
          <w:cantSplit w:val="0"/>
          <w:tblHeader w:val="0"/>
        </w:trPr>
        <w:tc>
          <w:tcPr>
            <w:gridSpan w:val="2"/>
          </w:tcPr>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4">
            <w:pPr>
              <w:spacing w:after="200" w:line="276" w:lineRule="auto"/>
              <w:jc w:val="center"/>
              <w:rPr>
                <w:rFonts w:ascii="Calibri" w:cs="Calibri" w:eastAsia="Calibri" w:hAnsi="Calibri"/>
                <w:b w:val="1"/>
                <w:bCs w:val="1"/>
                <w:color w:val="38761d"/>
                <w:sz w:val="24"/>
                <w:szCs w:val="24"/>
              </w:rPr>
            </w:pPr>
            <w:hyperlink r:id="rId9">
              <w:r w:rsidDel="00000000" w:rsidR="00000000" w:rsidRPr="00000000">
                <w:rPr>
                  <w:rFonts w:ascii="Calibri" w:cs="Calibri" w:eastAsia="Calibri" w:hAnsi="Calibri"/>
                  <w:b w:val="1"/>
                  <w:bCs w:val="1"/>
                  <w:color w:val="38761d"/>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11:08 am </w:t>
            </w:r>
          </w:p>
        </w:tc>
      </w:tr>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A">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Lara Braff- </w:t>
            </w:r>
            <w:r w:rsidDel="00000000" w:rsidR="00000000" w:rsidRPr="00000000">
              <w:rPr>
                <w:rFonts w:ascii="Calibri" w:cs="Calibri" w:eastAsia="Calibri" w:hAnsi="Calibri"/>
                <w:sz w:val="24"/>
                <w:szCs w:val="24"/>
                <w:rtl w:val="0"/>
              </w:rPr>
              <w:t xml:space="preserve">Please review the Guided Pathways materials for accuracy and inform the lead if any updates are needed. Be sure to check the Guided Pathways website, especially the recent CCN changes, and verify that the Canvas shelves for each semester are correct.</w:t>
            </w: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February 2, 2026.</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J.Waller/J. Vanden Eynden</w:t>
            </w:r>
          </w:p>
        </w:tc>
      </w:tr>
      <w:tr>
        <w:trPr>
          <w:cantSplit w:val="0"/>
          <w:tblHeader w:val="0"/>
        </w:trPr>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VandenEynden</w:t>
            </w:r>
          </w:p>
        </w:tc>
      </w:tr>
      <w:tr>
        <w:trPr>
          <w:cantSplit w:val="0"/>
          <w:tblHeader w:val="0"/>
        </w:trPr>
        <w:tc>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A">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B">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Ramadan Iftar Night on 3/4/26 (Griffin Gate)</w:t>
            </w:r>
          </w:p>
          <w:p w:rsidR="00000000" w:rsidDel="00000000" w:rsidP="00000000" w:rsidRDefault="00000000" w:rsidRPr="00000000" w14:paraId="0000003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Celebrate Ramadan with the Grossmont community. </w:t>
            </w:r>
          </w:p>
          <w:p w:rsidR="00000000" w:rsidDel="00000000" w:rsidP="00000000" w:rsidRDefault="00000000" w:rsidRPr="00000000" w14:paraId="0000003D">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Call-out for volunteers to serve on the Burden Free Access &amp; Public Safety Taskforce</w:t>
            </w:r>
          </w:p>
          <w:p w:rsidR="00000000" w:rsidDel="00000000" w:rsidP="00000000" w:rsidRDefault="00000000" w:rsidRPr="00000000" w14:paraId="0000003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Correction regarding the Burden Free Access Taskforce: It was noted in the email thread that this is a subcommittee of OER; however, it will be a taskforce independent of the OER committee.</w:t>
            </w:r>
          </w:p>
          <w:p w:rsidR="00000000" w:rsidDel="00000000" w:rsidP="00000000" w:rsidRDefault="00000000" w:rsidRPr="00000000" w14:paraId="0000004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you’re interested, a summary and link to sign up were included in the email thread.</w:t>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Safety Taskforce collaboration with Cuyamaca college. Call out will be sent out for volunteers. </w:t>
            </w:r>
          </w:p>
          <w:p w:rsidR="00000000" w:rsidDel="00000000" w:rsidP="00000000" w:rsidRDefault="00000000" w:rsidRPr="00000000" w14:paraId="00000043">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Preview of AS Canvas Container-Grossmont Academic Senate Canvas Shell</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Dawn created Canvas Container for Academic Senate, please see if any changes are needed. </w:t>
            </w:r>
          </w:p>
          <w:p w:rsidR="00000000" w:rsidDel="00000000" w:rsidP="00000000" w:rsidRDefault="00000000" w:rsidRPr="00000000" w14:paraId="00000046">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 2026 Area D 3.13.26 2026 Spring Area D Meeting Registration</w:t>
            </w:r>
          </w:p>
          <w:p w:rsidR="00000000" w:rsidDel="00000000" w:rsidP="00000000" w:rsidRDefault="00000000" w:rsidRPr="00000000" w14:paraId="00000048">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Registration for the meeting is available if you would like to attend in person or online on Friday, March 13. Area D refers to geographical location. </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p w:rsidR="00000000" w:rsidDel="00000000" w:rsidP="00000000" w:rsidRDefault="00000000" w:rsidRPr="00000000" w14:paraId="00000065">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CC Retreat (Enrollment Challenges/Strategies for improvement)</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Chairs and Coordinators held their retreat. Highlevel overview is in attachments.  </w:t>
            </w:r>
          </w:p>
          <w:p w:rsidR="00000000" w:rsidDel="00000000" w:rsidP="00000000" w:rsidRDefault="00000000" w:rsidRPr="00000000" w14:paraId="00000068">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TOP to CIP (Mandate)</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email was sent from the district regarding the mandated timeline to update the TOP and CIP codes. Information will be posted. Comments were brought up regarding Cuyamaca’s push for online classes. </w:t>
            </w:r>
          </w:p>
          <w:p w:rsidR="00000000" w:rsidDel="00000000" w:rsidP="00000000" w:rsidRDefault="00000000" w:rsidRPr="00000000" w14:paraId="0000006B">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Draft of District MOU Approval &amp; Implementation Process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Refresher: We previously signed an MOU with National University. A vote was taken to pause the MOU and not move forward at this time. There is a request for the district to have processes in place. Cuyamaca has reviewed the process. The document is included here at the district’s request for follow-up. Please provide feedback. </w:t>
            </w:r>
          </w:p>
          <w:p w:rsidR="00000000" w:rsidDel="00000000" w:rsidP="00000000" w:rsidRDefault="00000000" w:rsidRPr="00000000" w14:paraId="0000006E">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F">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Reimaging Public Safety: The District is considering hiring a consultant to help identify college needs</w:t>
            </w:r>
          </w:p>
          <w:p w:rsidR="00000000" w:rsidDel="00000000" w:rsidP="00000000" w:rsidRDefault="00000000" w:rsidRPr="00000000" w14:paraId="00000070">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We will establish our own taskforce. The district is considering hiring a consultant.</w:t>
            </w:r>
            <w:r w:rsidDel="00000000" w:rsidR="00000000" w:rsidRPr="00000000">
              <w:rPr>
                <w:rtl w:val="0"/>
              </w:rPr>
            </w:r>
          </w:p>
          <w:p w:rsidR="00000000" w:rsidDel="00000000" w:rsidP="00000000" w:rsidRDefault="00000000" w:rsidRPr="00000000" w14:paraId="00000071">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2">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Accessibility (District Email)</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district sent an email to the campus regarding accessibility. </w:t>
            </w:r>
          </w:p>
          <w:p w:rsidR="00000000" w:rsidDel="00000000" w:rsidP="00000000" w:rsidRDefault="00000000" w:rsidRPr="00000000" w14:paraId="00000074">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Senate Action Item Voting Process</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request of some colleagues, concerns were raised regarding the vote. Voting process will be discussed.</w:t>
            </w:r>
          </w:p>
          <w:p w:rsidR="00000000" w:rsidDel="00000000" w:rsidP="00000000" w:rsidRDefault="00000000" w:rsidRPr="00000000" w14:paraId="00000077">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8">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High-level overview of Board Document Reports: Citizens’ Bond Oversight Committee (CBOC) &amp; Fiscal Year 2025-26 First Principal Apportionment-State Chancellor’s Memorandum Report</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Presentations were given at the board meeting and are included in the attachments if you are interested.</w:t>
            </w:r>
          </w:p>
        </w:tc>
      </w:tr>
      <w:tr>
        <w:trPr>
          <w:cantSplit w:val="0"/>
          <w:trHeight w:val="1366.875" w:hRule="atLeast"/>
          <w:tblHeader w:val="0"/>
        </w:trPr>
        <w:tc>
          <w:tcPr/>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p w:rsidR="00000000" w:rsidDel="00000000" w:rsidP="00000000" w:rsidRDefault="00000000" w:rsidRPr="00000000" w14:paraId="00000088">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8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Constitution &amp; Bylaws (2nd Read)</w:t>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document is in the attachments folder. Please provide feedback so it can be moved forward as an action item.</w:t>
            </w:r>
          </w:p>
          <w:p w:rsidR="00000000" w:rsidDel="00000000" w:rsidP="00000000" w:rsidRDefault="00000000" w:rsidRPr="00000000" w14:paraId="0000008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Recommended Process to review the Senate's Constitution &amp; Bylaws </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recommended by a senator to create a process to review the Senate's Constitution &amp; Bylaw. </w:t>
            </w:r>
          </w:p>
          <w:p w:rsidR="00000000" w:rsidDel="00000000" w:rsidP="00000000" w:rsidRDefault="00000000" w:rsidRPr="00000000" w14:paraId="0000008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BP 4035  Controversial Issues (Please Review)</w:t>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important to review this document as it contains controversial issues taking place.  </w:t>
            </w:r>
          </w:p>
          <w:p w:rsidR="00000000" w:rsidDel="00000000" w:rsidP="00000000" w:rsidRDefault="00000000" w:rsidRPr="00000000" w14:paraId="0000009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 4230 Grading and Academic Symbols (Please Review)</w:t>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document discusses our policies and outlines procedures, including grading and reported symbols used for evaluation.</w:t>
            </w:r>
          </w:p>
        </w:tc>
      </w:tr>
      <w:tr>
        <w:trPr>
          <w:cantSplit w:val="0"/>
          <w:tblHeader w:val="0"/>
        </w:trPr>
        <w:tc>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p w:rsidR="00000000" w:rsidDel="00000000" w:rsidP="00000000" w:rsidRDefault="00000000" w:rsidRPr="00000000" w14:paraId="000000B2">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B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Overview of accessibility mandates (Interim President Luster, Interim VPSS Willis &amp; Interim Sr. Dean Hurvitz)   </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Accessibility across campus was discussed, with a legal mandate coming in April. The institution is taking a campus-wide approach to ensure accessibility. A new position dedicated to accessibility was officially approved in March. Accessibility Hub made for all accessibility questions. The State Chancellor’s webinar is scheduled for Wednesday, March 4, from 11:00 AM to 12:00 PM. The session is titled: “Using Accessibility allowing AI to Move Courses toward Revised ADA Title II Regulations.” The focus should be prioritized on content that is currently in use, rather than on information from the past. Letter will be sent with general information. </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Roe &amp; D. Heuft:</w:t>
            </w:r>
            <w:r w:rsidDel="00000000" w:rsidR="00000000" w:rsidRPr="00000000">
              <w:rPr>
                <w:rFonts w:ascii="Calibri" w:cs="Calibri" w:eastAsia="Calibri" w:hAnsi="Calibri"/>
                <w:sz w:val="24"/>
                <w:szCs w:val="24"/>
                <w:rtl w:val="0"/>
              </w:rPr>
              <w:t xml:space="preserve"> Advocacy for accessibility technology/tools. While Canvas website already includes some accessibility features, additional tools and best practices are being implemented:</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numPr>
                <w:ilvl w:val="0"/>
                <w:numId w:val="2"/>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TidyUp can be used for accessibility checks.</w:t>
            </w:r>
          </w:p>
          <w:p w:rsidR="00000000" w:rsidDel="00000000" w:rsidP="00000000" w:rsidRDefault="00000000" w:rsidRPr="00000000" w14:paraId="000000B9">
            <w:pPr>
              <w:numPr>
                <w:ilvl w:val="0"/>
                <w:numId w:val="2"/>
              </w:numPr>
              <w:spacing w:after="200" w:before="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UDOIT can convert PDFs to Canvas pages.</w:t>
            </w:r>
          </w:p>
          <w:p w:rsidR="00000000" w:rsidDel="00000000" w:rsidP="00000000" w:rsidRDefault="00000000" w:rsidRPr="00000000" w14:paraId="000000BA">
            <w:pPr>
              <w:spacing w:after="0" w:before="20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Best practices guidelines for evaluating accessibility. The overarching goal is to promote consistency and focus on patterns not perfection. This is support for faculty’s growth by faculty. The document is located in 11.4 Canvas Resources. </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*DE-Training Compensation Side letter approved. Effective immediately, faculty will be paid up to 20 hours of their non-classroom rate. This is retroactive to Fall 2025. </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High-level overview of BDP Process (D. Aceves- Curriculum Chair)</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Grossmont College conducts Feasibility Reviews of Instructional Programs to ensure alignment with the college’s mission and to confirm that student needs are being met. This process, governed by BP/AP 4020 and BP/AP 4021, involves examining programs and reviewing college catalogs to assess what each program entails. Outcomes of Feasibility Review include program initiation, modification, and discontinuance. Please refer to presentation slides in attachments for details. </w:t>
            </w:r>
          </w:p>
          <w:p w:rsidR="00000000" w:rsidDel="00000000" w:rsidP="00000000" w:rsidRDefault="00000000" w:rsidRPr="00000000" w14:paraId="000000C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C2">
            <w:pPr>
              <w:numPr>
                <w:ilvl w:val="0"/>
                <w:numId w:val="1"/>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C3">
            <w:pPr>
              <w:numPr>
                <w:ilvl w:val="0"/>
                <w:numId w:val="1"/>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Participatory Governance Committees</w:t>
            </w:r>
          </w:p>
          <w:p w:rsidR="00000000" w:rsidDel="00000000" w:rsidP="00000000" w:rsidRDefault="00000000" w:rsidRPr="00000000" w14:paraId="000000C4">
            <w:pPr>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p w:rsidR="00000000" w:rsidDel="00000000" w:rsidP="00000000" w:rsidRDefault="00000000" w:rsidRPr="00000000" w14:paraId="000000C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C8">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Revised Resolution (ASGC)- Ensuring Precalculus Choice at Grossmont College after AB 1705 </w:t>
            </w:r>
          </w:p>
          <w:p w:rsidR="00000000" w:rsidDel="00000000" w:rsidP="00000000" w:rsidRDefault="00000000" w:rsidRPr="00000000" w14:paraId="000000C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vote by acclimation: M. Molina/J. Yang</w:t>
            </w:r>
          </w:p>
          <w:p w:rsidR="00000000" w:rsidDel="00000000" w:rsidP="00000000" w:rsidRDefault="00000000" w:rsidRPr="00000000" w14:paraId="000000C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Passes</w:t>
            </w:r>
          </w:p>
        </w:tc>
      </w:tr>
      <w:tr>
        <w:trPr>
          <w:cantSplit w:val="0"/>
          <w:trHeight w:val="780.9375" w:hRule="atLeast"/>
          <w:tblHeader w:val="0"/>
        </w:trPr>
        <w:tc>
          <w:tcPr/>
          <w:p w:rsidR="00000000" w:rsidDel="00000000" w:rsidP="00000000" w:rsidRDefault="00000000" w:rsidRPr="00000000" w14:paraId="000000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CF">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D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 specifically counseling)</w:t>
            </w:r>
          </w:p>
        </w:tc>
      </w:tr>
      <w:tr>
        <w:trPr>
          <w:cantSplit w:val="0"/>
          <w:trHeight w:val="780.9375" w:hRule="atLeast"/>
          <w:tblHeader w:val="0"/>
        </w:trPr>
        <w:tc>
          <w:tcPr/>
          <w:p w:rsidR="00000000" w:rsidDel="00000000" w:rsidP="00000000" w:rsidRDefault="00000000" w:rsidRPr="00000000" w14:paraId="000000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D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D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D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p w:rsidR="00000000" w:rsidDel="00000000" w:rsidP="00000000" w:rsidRDefault="00000000" w:rsidRPr="00000000" w14:paraId="000000D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w:t>
            </w:r>
          </w:p>
        </w:tc>
        <w:tc>
          <w:tcPr/>
          <w:p w:rsidR="00000000" w:rsidDel="00000000" w:rsidP="00000000" w:rsidRDefault="00000000" w:rsidRPr="00000000" w14:paraId="000000DB">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DC">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Credit for Prior Learning (CPL)</w:t>
            </w:r>
          </w:p>
          <w:p w:rsidR="00000000" w:rsidDel="00000000" w:rsidP="00000000" w:rsidRDefault="00000000" w:rsidRPr="00000000" w14:paraId="000000DD">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E">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Ranking-Tenure Review Team</w:t>
            </w:r>
          </w:p>
          <w:p w:rsidR="00000000" w:rsidDel="00000000" w:rsidP="00000000" w:rsidRDefault="00000000" w:rsidRPr="00000000" w14:paraId="000000DF">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0">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Senator’s Roles/Communication</w:t>
            </w:r>
          </w:p>
          <w:p w:rsidR="00000000" w:rsidDel="00000000" w:rsidP="00000000" w:rsidRDefault="00000000" w:rsidRPr="00000000" w14:paraId="000000E1">
            <w:pPr>
              <w:tabs>
                <w:tab w:val="left" w:leader="none" w:pos="972"/>
              </w:tabs>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2">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Human Resources Advisory Council (HRAC) AP/BPs</w:t>
            </w:r>
          </w:p>
        </w:tc>
      </w:tr>
      <w:tr>
        <w:trPr>
          <w:cantSplit w:val="0"/>
          <w:tblHeader w:val="0"/>
        </w:trPr>
        <w:tc>
          <w:tcPr/>
          <w:p w:rsidR="00000000" w:rsidDel="00000000" w:rsidP="00000000" w:rsidRDefault="00000000" w:rsidRPr="00000000" w14:paraId="000000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E4">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ASCCC Webinars, Announcements, and Resources</w:t>
            </w:r>
          </w:p>
          <w:p w:rsidR="00000000" w:rsidDel="00000000" w:rsidP="00000000" w:rsidRDefault="00000000" w:rsidRPr="00000000" w14:paraId="000000E5">
            <w:pPr>
              <w:numPr>
                <w:ilvl w:val="1"/>
                <w:numId w:val="3"/>
              </w:numPr>
              <w:shd w:fill="ffffff" w:val="clear"/>
              <w:ind w:left="1440" w:right="300" w:hanging="360"/>
              <w:rPr>
                <w:rFonts w:ascii="Calibri" w:cs="Calibri" w:eastAsia="Calibri" w:hAnsi="Calibri"/>
                <w:sz w:val="24"/>
                <w:szCs w:val="24"/>
              </w:rPr>
            </w:pPr>
            <w:r w:rsidDel="00000000" w:rsidR="00000000" w:rsidRPr="00000000">
              <w:rPr>
                <w:rFonts w:ascii="Calibri" w:cs="Calibri" w:eastAsia="Calibri" w:hAnsi="Calibri"/>
                <w:b w:val="1"/>
                <w:bCs w:val="1"/>
                <w:color w:val="221f2b"/>
                <w:sz w:val="24"/>
                <w:szCs w:val="24"/>
                <w:u w:val="single"/>
                <w:rtl w:val="0"/>
              </w:rPr>
              <w:t xml:space="preserve">February 25,</w:t>
            </w:r>
            <w:r w:rsidDel="00000000" w:rsidR="00000000" w:rsidRPr="00000000">
              <w:rPr>
                <w:rFonts w:ascii="Calibri" w:cs="Calibri" w:eastAsia="Calibri" w:hAnsi="Calibri"/>
                <w:b w:val="1"/>
                <w:bCs w:val="1"/>
                <w:color w:val="1a5c80"/>
                <w:sz w:val="24"/>
                <w:szCs w:val="24"/>
                <w:u w:val="single"/>
                <w:rtl w:val="0"/>
              </w:rPr>
              <w:t xml:space="preserve"> </w:t>
            </w:r>
            <w:hyperlink r:id="rId10">
              <w:r w:rsidDel="00000000" w:rsidR="00000000" w:rsidRPr="00000000">
                <w:rPr>
                  <w:rFonts w:ascii="Calibri" w:cs="Calibri" w:eastAsia="Calibri" w:hAnsi="Calibri"/>
                  <w:color w:val="47802e"/>
                  <w:sz w:val="24"/>
                  <w:szCs w:val="24"/>
                  <w:u w:val="single"/>
                  <w:rtl w:val="0"/>
                </w:rPr>
                <w:t xml:space="preserve">The Counselor’s Role in a Changing Landscape: Technology, Equity, and Vision 2030</w:t>
              </w:r>
            </w:hyperlink>
            <w:r w:rsidDel="00000000" w:rsidR="00000000" w:rsidRPr="00000000">
              <w:rPr>
                <w:rtl w:val="0"/>
              </w:rPr>
            </w:r>
          </w:p>
          <w:p w:rsidR="00000000" w:rsidDel="00000000" w:rsidP="00000000" w:rsidRDefault="00000000" w:rsidRPr="00000000" w14:paraId="000000E6">
            <w:pPr>
              <w:numPr>
                <w:ilvl w:val="1"/>
                <w:numId w:val="3"/>
              </w:numPr>
              <w:shd w:fill="ffffff" w:val="clear"/>
              <w:ind w:left="1440" w:right="300" w:hanging="360"/>
              <w:rPr>
                <w:rFonts w:ascii="Calibri" w:cs="Calibri" w:eastAsia="Calibri" w:hAnsi="Calibri"/>
                <w:sz w:val="24"/>
                <w:szCs w:val="24"/>
              </w:rPr>
            </w:pPr>
            <w:r w:rsidDel="00000000" w:rsidR="00000000" w:rsidRPr="00000000">
              <w:rPr>
                <w:rFonts w:ascii="Calibri" w:cs="Calibri" w:eastAsia="Calibri" w:hAnsi="Calibri"/>
                <w:b w:val="1"/>
                <w:bCs w:val="1"/>
                <w:color w:val="221f2b"/>
                <w:sz w:val="24"/>
                <w:szCs w:val="24"/>
                <w:u w:val="single"/>
                <w:rtl w:val="0"/>
              </w:rPr>
              <w:t xml:space="preserve">February 25,</w:t>
            </w:r>
            <w:r w:rsidDel="00000000" w:rsidR="00000000" w:rsidRPr="00000000">
              <w:rPr>
                <w:rFonts w:ascii="Calibri" w:cs="Calibri" w:eastAsia="Calibri" w:hAnsi="Calibri"/>
                <w:b w:val="1"/>
                <w:bCs w:val="1"/>
                <w:color w:val="1a5c80"/>
                <w:sz w:val="24"/>
                <w:szCs w:val="24"/>
                <w:u w:val="single"/>
                <w:rtl w:val="0"/>
              </w:rPr>
              <w:t xml:space="preserve"> </w:t>
            </w:r>
            <w:hyperlink r:id="rId11">
              <w:r w:rsidDel="00000000" w:rsidR="00000000" w:rsidRPr="00000000">
                <w:rPr>
                  <w:rFonts w:ascii="Calibri" w:cs="Calibri" w:eastAsia="Calibri" w:hAnsi="Calibri"/>
                  <w:color w:val="47802e"/>
                  <w:sz w:val="24"/>
                  <w:szCs w:val="24"/>
                  <w:u w:val="single"/>
                  <w:rtl w:val="0"/>
                </w:rPr>
                <w:t xml:space="preserve">Transparency in Practice: The Brown Act and Recent Legislation</w:t>
              </w:r>
            </w:hyperlink>
            <w:r w:rsidDel="00000000" w:rsidR="00000000" w:rsidRPr="00000000">
              <w:rPr>
                <w:rtl w:val="0"/>
              </w:rPr>
            </w:r>
          </w:p>
          <w:p w:rsidR="00000000" w:rsidDel="00000000" w:rsidP="00000000" w:rsidRDefault="00000000" w:rsidRPr="00000000" w14:paraId="000000E7">
            <w:pPr>
              <w:numPr>
                <w:ilvl w:val="1"/>
                <w:numId w:val="3"/>
              </w:numPr>
              <w:shd w:fill="ffffff" w:val="clear"/>
              <w:ind w:left="1440" w:right="300" w:hanging="360"/>
              <w:rPr>
                <w:rFonts w:ascii="Calibri" w:cs="Calibri" w:eastAsia="Calibri" w:hAnsi="Calibri"/>
                <w:sz w:val="24"/>
                <w:szCs w:val="24"/>
              </w:rPr>
            </w:pPr>
            <w:r w:rsidDel="00000000" w:rsidR="00000000" w:rsidRPr="00000000">
              <w:rPr>
                <w:rFonts w:ascii="Calibri" w:cs="Calibri" w:eastAsia="Calibri" w:hAnsi="Calibri"/>
                <w:b w:val="1"/>
                <w:bCs w:val="1"/>
                <w:color w:val="221f2b"/>
                <w:sz w:val="24"/>
                <w:szCs w:val="24"/>
                <w:u w:val="single"/>
                <w:rtl w:val="0"/>
              </w:rPr>
              <w:t xml:space="preserve">March 4, </w:t>
            </w:r>
            <w:hyperlink r:id="rId12">
              <w:r w:rsidDel="00000000" w:rsidR="00000000" w:rsidRPr="00000000">
                <w:rPr>
                  <w:rFonts w:ascii="Calibri" w:cs="Calibri" w:eastAsia="Calibri" w:hAnsi="Calibri"/>
                  <w:color w:val="47802e"/>
                  <w:sz w:val="24"/>
                  <w:szCs w:val="24"/>
                  <w:u w:val="single"/>
                  <w:rtl w:val="0"/>
                </w:rPr>
                <w:t xml:space="preserve">The California Legislative Process &amp; Faculty Advocacy</w:t>
              </w:r>
            </w:hyperlink>
            <w:r w:rsidDel="00000000" w:rsidR="00000000" w:rsidRPr="00000000">
              <w:rPr>
                <w:rtl w:val="0"/>
              </w:rPr>
            </w:r>
          </w:p>
          <w:p w:rsidR="00000000" w:rsidDel="00000000" w:rsidP="00000000" w:rsidRDefault="00000000" w:rsidRPr="00000000" w14:paraId="000000E8">
            <w:pPr>
              <w:numPr>
                <w:ilvl w:val="1"/>
                <w:numId w:val="3"/>
              </w:numPr>
              <w:shd w:fill="ffffff" w:val="clear"/>
              <w:ind w:left="1440" w:right="300" w:hanging="360"/>
              <w:rPr>
                <w:rFonts w:ascii="Calibri" w:cs="Calibri" w:eastAsia="Calibri" w:hAnsi="Calibri"/>
                <w:color w:val="47802e"/>
                <w:sz w:val="24"/>
                <w:szCs w:val="24"/>
              </w:rPr>
            </w:pPr>
            <w:r w:rsidDel="00000000" w:rsidR="00000000" w:rsidRPr="00000000">
              <w:rPr>
                <w:rFonts w:ascii="Calibri" w:cs="Calibri" w:eastAsia="Calibri" w:hAnsi="Calibri"/>
                <w:b w:val="1"/>
                <w:bCs w:val="1"/>
                <w:sz w:val="24"/>
                <w:szCs w:val="24"/>
                <w:u w:val="single"/>
                <w:rtl w:val="0"/>
              </w:rPr>
              <w:t xml:space="preserve">March 6, 2026,</w:t>
            </w:r>
            <w:r w:rsidDel="00000000" w:rsidR="00000000" w:rsidRPr="00000000">
              <w:rPr>
                <w:rFonts w:ascii="Calibri" w:cs="Calibri" w:eastAsia="Calibri" w:hAnsi="Calibri"/>
                <w:color w:val="47802e"/>
                <w:sz w:val="24"/>
                <w:szCs w:val="24"/>
                <w:u w:val="single"/>
                <w:rtl w:val="0"/>
              </w:rPr>
              <w:t xml:space="preserve"> </w:t>
            </w:r>
            <w:hyperlink r:id="rId13">
              <w:r w:rsidDel="00000000" w:rsidR="00000000" w:rsidRPr="00000000">
                <w:rPr>
                  <w:rFonts w:ascii="Open Sans" w:cs="Open Sans" w:eastAsia="Open Sans" w:hAnsi="Open Sans"/>
                  <w:color w:val="47802e"/>
                  <w:sz w:val="23"/>
                  <w:szCs w:val="23"/>
                  <w:u w:val="single"/>
                  <w:shd w:fill="f7f7f7" w:val="clear"/>
                  <w:rtl w:val="0"/>
                </w:rPr>
                <w:t xml:space="preserve">ASCCC 2026 Spring Plenary Session</w:t>
              </w:r>
            </w:hyperlink>
            <w:r w:rsidDel="00000000" w:rsidR="00000000" w:rsidRPr="00000000">
              <w:rPr>
                <w:rFonts w:ascii="Calibri" w:cs="Calibri" w:eastAsia="Calibri" w:hAnsi="Calibri"/>
                <w:color w:val="47802e"/>
                <w:sz w:val="24"/>
                <w:szCs w:val="24"/>
                <w:u w:val="single"/>
                <w:rtl w:val="0"/>
              </w:rPr>
              <w:t xml:space="preserve">, </w:t>
            </w:r>
            <w:hyperlink r:id="rId14">
              <w:r w:rsidDel="00000000" w:rsidR="00000000" w:rsidRPr="00000000">
                <w:rPr>
                  <w:rFonts w:ascii="Calibri" w:cs="Calibri" w:eastAsia="Calibri" w:hAnsi="Calibri"/>
                  <w:color w:val="47802e"/>
                  <w:sz w:val="24"/>
                  <w:szCs w:val="24"/>
                  <w:u w:val="single"/>
                  <w:rtl w:val="0"/>
                </w:rPr>
                <w:t xml:space="preserve">Scholarship Information/Deadline</w:t>
              </w:r>
            </w:hyperlink>
            <w:r w:rsidDel="00000000" w:rsidR="00000000" w:rsidRPr="00000000">
              <w:rPr>
                <w:rtl w:val="0"/>
              </w:rPr>
            </w:r>
          </w:p>
          <w:p w:rsidR="00000000" w:rsidDel="00000000" w:rsidP="00000000" w:rsidRDefault="00000000" w:rsidRPr="00000000" w14:paraId="000000E9">
            <w:pPr>
              <w:numPr>
                <w:ilvl w:val="1"/>
                <w:numId w:val="3"/>
              </w:numPr>
              <w:shd w:fill="ffffff" w:val="clear"/>
              <w:ind w:left="1440" w:right="300" w:hanging="360"/>
              <w:rPr>
                <w:rFonts w:ascii="Calibri" w:cs="Calibri" w:eastAsia="Calibri" w:hAnsi="Calibri"/>
                <w:color w:val="47802e"/>
                <w:sz w:val="24"/>
                <w:szCs w:val="24"/>
              </w:rPr>
            </w:pPr>
            <w:r w:rsidDel="00000000" w:rsidR="00000000" w:rsidRPr="00000000">
              <w:rPr>
                <w:rFonts w:ascii="Calibri" w:cs="Calibri" w:eastAsia="Calibri" w:hAnsi="Calibri"/>
                <w:b w:val="1"/>
                <w:bCs w:val="1"/>
                <w:color w:val="221f2b"/>
                <w:sz w:val="24"/>
                <w:szCs w:val="24"/>
                <w:u w:val="single"/>
                <w:rtl w:val="0"/>
              </w:rPr>
              <w:t xml:space="preserve">March 12, </w:t>
            </w:r>
            <w:hyperlink r:id="rId15">
              <w:r w:rsidDel="00000000" w:rsidR="00000000" w:rsidRPr="00000000">
                <w:rPr>
                  <w:rFonts w:ascii="Calibri" w:cs="Calibri" w:eastAsia="Calibri" w:hAnsi="Calibri"/>
                  <w:color w:val="47802e"/>
                  <w:sz w:val="24"/>
                  <w:szCs w:val="24"/>
                  <w:u w:val="single"/>
                  <w:rtl w:val="0"/>
                </w:rPr>
                <w:t xml:space="preserve">Nurturing the Seeds of Change: Supporting the Evaluation Process with IDEAA Tools</w:t>
              </w:r>
            </w:hyperlink>
            <w:r w:rsidDel="00000000" w:rsidR="00000000" w:rsidRPr="00000000">
              <w:rPr>
                <w:rtl w:val="0"/>
              </w:rPr>
            </w:r>
          </w:p>
          <w:p w:rsidR="00000000" w:rsidDel="00000000" w:rsidP="00000000" w:rsidRDefault="00000000" w:rsidRPr="00000000" w14:paraId="000000EA">
            <w:pPr>
              <w:spacing w:line="276" w:lineRule="auto"/>
              <w:ind w:left="1440" w:firstLine="0"/>
              <w:rPr>
                <w:rFonts w:ascii="Calibri" w:cs="Calibri" w:eastAsia="Calibri" w:hAnsi="Calibri"/>
                <w:color w:val="221f2b"/>
                <w:sz w:val="24"/>
                <w:szCs w:val="24"/>
              </w:rPr>
            </w:pPr>
            <w:r w:rsidDel="00000000" w:rsidR="00000000" w:rsidRPr="00000000">
              <w:rPr>
                <w:rtl w:val="0"/>
              </w:rPr>
            </w:r>
          </w:p>
          <w:p w:rsidR="00000000" w:rsidDel="00000000" w:rsidP="00000000" w:rsidRDefault="00000000" w:rsidRPr="00000000" w14:paraId="000000EB">
            <w:pPr>
              <w:numPr>
                <w:ilvl w:val="1"/>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color w:val="47802e"/>
                <w:sz w:val="24"/>
                <w:szCs w:val="24"/>
                <w:u w:val="single"/>
                <w:rtl w:val="0"/>
              </w:rPr>
              <w:t xml:space="preserve">The </w:t>
            </w:r>
            <w:hyperlink r:id="rId16">
              <w:r w:rsidDel="00000000" w:rsidR="00000000" w:rsidRPr="00000000">
                <w:rPr>
                  <w:rFonts w:ascii="Calibri" w:cs="Calibri" w:eastAsia="Calibri" w:hAnsi="Calibri"/>
                  <w:color w:val="47802e"/>
                  <w:sz w:val="24"/>
                  <w:szCs w:val="24"/>
                  <w:u w:val="single"/>
                  <w:rtl w:val="0"/>
                </w:rPr>
                <w:t xml:space="preserve">Academic Freedom Resource Guide</w:t>
              </w:r>
            </w:hyperlink>
            <w:r w:rsidDel="00000000" w:rsidR="00000000" w:rsidRPr="00000000">
              <w:rPr>
                <w:rFonts w:ascii="Calibri" w:cs="Calibri" w:eastAsia="Calibri" w:hAnsi="Calibri"/>
                <w:sz w:val="24"/>
                <w:szCs w:val="24"/>
                <w:rtl w:val="0"/>
              </w:rPr>
              <w:t xml:space="preserve"> is intended to support faculty with information to ensure they know their roles, rights, and responsibilities in the use of academic freedom; it includes links to </w:t>
            </w:r>
            <w:hyperlink r:id="rId17">
              <w:r w:rsidDel="00000000" w:rsidR="00000000" w:rsidRPr="00000000">
                <w:rPr>
                  <w:rFonts w:ascii="Calibri" w:cs="Calibri" w:eastAsia="Calibri" w:hAnsi="Calibri"/>
                  <w:color w:val="47802e"/>
                  <w:sz w:val="24"/>
                  <w:szCs w:val="24"/>
                  <w:u w:val="single"/>
                  <w:rtl w:val="0"/>
                </w:rPr>
                <w:t xml:space="preserve">a Playlab.ai bot</w:t>
              </w:r>
            </w:hyperlink>
            <w:r w:rsidDel="00000000" w:rsidR="00000000" w:rsidRPr="00000000">
              <w:rPr>
                <w:rFonts w:ascii="Calibri" w:cs="Calibri" w:eastAsia="Calibri" w:hAnsi="Calibri"/>
                <w:color w:val="47802e"/>
                <w:sz w:val="24"/>
                <w:szCs w:val="24"/>
                <w:rtl w:val="0"/>
              </w:rPr>
              <w:t xml:space="preserve"> </w:t>
            </w:r>
            <w:r w:rsidDel="00000000" w:rsidR="00000000" w:rsidRPr="00000000">
              <w:rPr>
                <w:rFonts w:ascii="Calibri" w:cs="Calibri" w:eastAsia="Calibri" w:hAnsi="Calibri"/>
                <w:sz w:val="24"/>
                <w:szCs w:val="24"/>
                <w:rtl w:val="0"/>
              </w:rPr>
              <w:t xml:space="preserve">trained to support research on academic freedom</w:t>
            </w: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E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Adjournment:  </w:t>
            </w:r>
            <w:r w:rsidDel="00000000" w:rsidR="00000000" w:rsidRPr="00000000">
              <w:rPr>
                <w:rtl w:val="0"/>
              </w:rPr>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A. Traylor/M. Molina</w:t>
            </w:r>
          </w:p>
          <w:p w:rsidR="00000000" w:rsidDel="00000000" w:rsidP="00000000" w:rsidRDefault="00000000" w:rsidRPr="00000000" w14:paraId="000000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12:21.</w:t>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March 16, 2026.</w:t>
            </w:r>
          </w:p>
        </w:tc>
      </w:tr>
    </w:tbl>
    <w:p w:rsidR="00000000" w:rsidDel="00000000" w:rsidP="00000000" w:rsidRDefault="00000000" w:rsidRPr="00000000" w14:paraId="000000F2">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40"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10:30:54</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Interim VP/ Ethnic Studies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10:55:28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10:56:27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10:56:27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10:56:53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Sebastien Cormier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10:57:40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10:58:25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10:58:42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10:59:36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11:00:16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11:00:20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11:01:06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11:01:10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11:01:21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11:01:23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11:01:26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11:02:16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11:02:43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11:03:08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and Sciences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11:03:14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11:03:15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11:03:16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11:04:02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a Ann Chow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11:04:04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11:04:17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Adelle Roe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English/Online Ed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11:04:23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11:05:10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11:05:12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11:05:20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11:06:50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Kelly menck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AOJ</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Counseling/Transfer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11:06:56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11:07:05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11:07:17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11:07:25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11:07:49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Dawn Heuft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LTR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11:07:53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11:08:15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11:08:46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11:08:54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11:09:22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11:09:28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11:10:15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11:10:36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11:10:52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11:12:19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11:13:30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11:25:55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and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11:27:25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3/2/2026 11:35:09</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FD">
      <w:pPr>
        <w:spacing w:after="160" w:line="259" w:lineRule="auto"/>
        <w:rPr>
          <w:rFonts w:ascii="Calibri" w:cs="Calibri" w:eastAsia="Calibri" w:hAnsi="Calibri"/>
          <w:sz w:val="24"/>
          <w:szCs w:val="24"/>
        </w:rPr>
      </w:pPr>
      <w:r w:rsidDel="00000000" w:rsidR="00000000" w:rsidRPr="00000000">
        <w:rPr>
          <w:rtl w:val="0"/>
        </w:rPr>
      </w:r>
    </w:p>
    <w:sectPr>
      <w:headerReference r:id="rId18" w:type="default"/>
      <w:headerReference r:id="rId19" w:type="first"/>
      <w:headerReference r:id="rId20" w:type="even"/>
      <w:footerReference r:id="rId21" w:type="first"/>
      <w:footerReference r:id="rId2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nam12.safelinks.protection.outlook.com/?url=https%3A%2F%2Facademicsenate.cmail20.com%2Ft%2Fy-l-asljld-hikkkttuiu-t%2F&amp;data=05%7C02%7C%7Cf5985c34a9c5455f908f08de6f4e0aa0%7C29eb4092cc454f0089bca444189b8fca%7C0%7C0%7C639070580438780707%7CUnknown%7CTWFpbGZsb3d8eyJFbXB0eU1hcGkiOnRydWUsIlYiOiIwLjAuMDAwMCIsIlAiOiJXaW4zMiIsIkFOIjoiTWFpbCIsIldUIjoyfQ%3D%3D%7C0%7C%7C%7C&amp;sdata=yN6R%2Fz1DvgxMdMhFN%2FuH3cFTpAlR0cGFrXZ70DxUCtU%3D&amp;reserved=0" TargetMode="External"/><Relationship Id="rId22" Type="http://schemas.openxmlformats.org/officeDocument/2006/relationships/footer" Target="footer2.xml"/><Relationship Id="rId10" Type="http://schemas.openxmlformats.org/officeDocument/2006/relationships/hyperlink" Target="https://nam12.safelinks.protection.outlook.com/?url=https%3A%2F%2Facademicsenate.cmail20.com%2Ft%2Fy-l-asljld-hikkkttuiu-j%2F&amp;data=05%7C02%7C%7Cf5985c34a9c5455f908f08de6f4e0aa0%7C29eb4092cc454f0089bca444189b8fca%7C0%7C0%7C639070580438759839%7CUnknown%7CTWFpbGZsb3d8eyJFbXB0eU1hcGkiOnRydWUsIlYiOiIwLjAuMDAwMCIsIlAiOiJXaW4zMiIsIkFOIjoiTWFpbCIsIldUIjoyfQ%3D%3D%7C0%7C%7C%7C&amp;sdata=eEL9eXpZdXmjbivH4MfkBqwJeGDOfpCrmyl2tNZK5Ig%3D&amp;reserved=0" TargetMode="External"/><Relationship Id="rId21" Type="http://schemas.openxmlformats.org/officeDocument/2006/relationships/footer" Target="footer1.xml"/><Relationship Id="rId13" Type="http://schemas.openxmlformats.org/officeDocument/2006/relationships/hyperlink" Target="https://nam12.safelinks.protection.outlook.com/?url=https%3A%2F%2Facademicsenate.cmail20.com%2Ft%2Fy-l-ajjuduk-ducdkutdj-r%2F&amp;data=05%7C02%7C%7C293cb3107e3e4003c27108de73e10bbe%7C29eb4092cc454f0089bca444189b8fca%7C0%7C0%7C639075607590131027%7CUnknown%7CTWFpbGZsb3d8eyJFbXB0eU1hcGkiOnRydWUsIlYiOiIwLjAuMDAwMCIsIlAiOiJXaW4zMiIsIkFOIjoiTWFpbCIsIldUIjoyfQ%3D%3D%7C0%7C%7C%7C&amp;sdata=8obwOAz%2BmXk2JC27%2F3LzrRxNoTlpSGzpDiRMkvUsYs4%3D&amp;reserved=0" TargetMode="External"/><Relationship Id="rId12" Type="http://schemas.openxmlformats.org/officeDocument/2006/relationships/hyperlink" Target="https://nam12.safelinks.protection.outlook.com/?url=https%3A%2F%2Facademicsenate.cmail20.com%2Ft%2Fy-l-asljld-hikkkttuiu-i%2F&amp;data=05%7C02%7C%7Cf5985c34a9c5455f908f08de6f4e0aa0%7C29eb4092cc454f0089bca444189b8fca%7C0%7C0%7C639070580438797870%7CUnknown%7CTWFpbGZsb3d8eyJFbXB0eU1hcGkiOnRydWUsIlYiOiIwLjAuMDAwMCIsIlAiOiJXaW4zMiIsIkFOIjoiTWFpbCIsIldUIjoyfQ%3D%3D%7C0%7C%7C%7C&amp;sdata=wBbxNRLiaIyvZ2b0DbjFobEFVfTFwGahquSKbESd7QY%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a30YZfUDBweDKYkeriQ4cUky3fcVPv5X?usp=drive_link" TargetMode="External"/><Relationship Id="rId15" Type="http://schemas.openxmlformats.org/officeDocument/2006/relationships/hyperlink" Target="https://nam12.safelinks.protection.outlook.com/?url=https%3A%2F%2Facademicsenate.cmail20.com%2Ft%2Fy-l-asljld-hikkkttuiu-d%2F&amp;data=05%7C02%7C%7Cf5985c34a9c5455f908f08de6f4e0aa0%7C29eb4092cc454f0089bca444189b8fca%7C0%7C0%7C639070580438814735%7CUnknown%7CTWFpbGZsb3d8eyJFbXB0eU1hcGkiOnRydWUsIlYiOiIwLjAuMDAwMCIsIlAiOiJXaW4zMiIsIkFOIjoiTWFpbCIsIldUIjoyfQ%3D%3D%7C0%7C%7C%7C&amp;sdata=aoFb%2FGek11KuFoJJF6%2FXlNZ%2FOKtUDqVSAeIipmwwxPU%3D&amp;reserved=0" TargetMode="External"/><Relationship Id="rId14" Type="http://schemas.openxmlformats.org/officeDocument/2006/relationships/hyperlink" Target="https://asfccc.com/faculty-scholarship-application-for-the-asccc-2026-spring-plenary-session/" TargetMode="External"/><Relationship Id="rId17" Type="http://schemas.openxmlformats.org/officeDocument/2006/relationships/hyperlink" Target="http://playlab.ai" TargetMode="External"/><Relationship Id="rId16" Type="http://schemas.openxmlformats.org/officeDocument/2006/relationships/hyperlink" Target="https://www.asccc.org/papers/academic-freedom-resource-guide"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z1Asr6I27SBBbbgzwVKGJa09w==">CgMxLjA4AHIhMUJTT05tZmtzeGllR2NPSDFTWE1IYWtMU0VLUE9YWUxR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