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rqu587zgfge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Role and Responsibility as a Faculty Senate Representative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 representative, you serve as a </w:t>
      </w:r>
      <w:r w:rsidDel="00000000" w:rsidR="00000000" w:rsidRPr="00000000">
        <w:rPr>
          <w:rtl w:val="0"/>
        </w:rPr>
        <w:t xml:space="preserve">bridge between your committee and the Academic Senate</w:t>
      </w:r>
      <w:r w:rsidDel="00000000" w:rsidR="00000000" w:rsidRPr="00000000">
        <w:rPr>
          <w:rtl w:val="0"/>
        </w:rPr>
        <w:t xml:space="preserve">. This requires a commitment to transparent, consistent, and inclusive communication practices that reflect the diversity of faculty perspectives across the college.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ryv9t3z706f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Communication Expectations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Communication should be </w:t>
      </w:r>
      <w:r w:rsidDel="00000000" w:rsidR="00000000" w:rsidRPr="00000000">
        <w:rPr>
          <w:rtl w:val="0"/>
        </w:rPr>
        <w:t xml:space="preserve">streamlined, consistent, and accessible</w:t>
      </w:r>
      <w:r w:rsidDel="00000000" w:rsidR="00000000" w:rsidRPr="00000000">
        <w:rPr>
          <w:rtl w:val="0"/>
        </w:rPr>
        <w:t xml:space="preserve"> to ensure alignment between your committee work and Senate priorities.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Representatives are expected to </w:t>
      </w:r>
      <w:r w:rsidDel="00000000" w:rsidR="00000000" w:rsidRPr="00000000">
        <w:rPr>
          <w:rtl w:val="0"/>
        </w:rPr>
        <w:t xml:space="preserve">regularly seek input from the Senate</w:t>
      </w:r>
      <w:r w:rsidDel="00000000" w:rsidR="00000000" w:rsidRPr="00000000">
        <w:rPr>
          <w:rtl w:val="0"/>
        </w:rPr>
        <w:t xml:space="preserve"> on relevant agenda items. This ensures that your contributions reflect the collective voice rather than individual interpretation.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appropriate, bring forward key issues, proposals, or concerns to the Senate </w:t>
      </w:r>
      <w:r w:rsidDel="00000000" w:rsidR="00000000" w:rsidRPr="00000000">
        <w:rPr>
          <w:rtl w:val="0"/>
        </w:rPr>
        <w:t xml:space="preserve">prior to major decisions</w:t>
      </w:r>
      <w:r w:rsidDel="00000000" w:rsidR="00000000" w:rsidRPr="00000000">
        <w:rPr>
          <w:rtl w:val="0"/>
        </w:rPr>
        <w:t xml:space="preserve"> to allow for dialogue and feedback.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ko6pgwzaht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Reporting Responsibilities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Representatives are required to provide </w:t>
      </w:r>
      <w:r w:rsidDel="00000000" w:rsidR="00000000" w:rsidRPr="00000000">
        <w:rPr>
          <w:rtl w:val="0"/>
        </w:rPr>
        <w:t xml:space="preserve">regular updates to the Academic Senate</w:t>
      </w:r>
      <w:r w:rsidDel="00000000" w:rsidR="00000000" w:rsidRPr="00000000">
        <w:rPr>
          <w:rtl w:val="0"/>
        </w:rPr>
        <w:t xml:space="preserve">, either: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 writing (submitted reports), and/or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Through </w:t>
      </w:r>
      <w:r w:rsidDel="00000000" w:rsidR="00000000" w:rsidRPr="00000000">
        <w:rPr>
          <w:rtl w:val="0"/>
        </w:rPr>
        <w:t xml:space="preserve">in-person verbal reports</w:t>
      </w:r>
      <w:r w:rsidDel="00000000" w:rsidR="00000000" w:rsidRPr="00000000">
        <w:rPr>
          <w:rtl w:val="0"/>
        </w:rPr>
        <w:t xml:space="preserve"> during Senate meetings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Reports should include key discussions, action items, and any matters requiring Senate input or awareness.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vbb942ju7c2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Attendance and Representation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Consistent attendance at both committee and Senate meetings is essential to maintaining continuity and integrity in representation.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 are unable to attend a meeting, it is your responsibility to </w:t>
      </w:r>
      <w:r w:rsidDel="00000000" w:rsidR="00000000" w:rsidRPr="00000000">
        <w:rPr>
          <w:rtl w:val="0"/>
        </w:rPr>
        <w:t xml:space="preserve">identify a proxy</w:t>
      </w:r>
      <w:r w:rsidDel="00000000" w:rsidR="00000000" w:rsidRPr="00000000">
        <w:rPr>
          <w:rtl w:val="0"/>
        </w:rPr>
        <w:t xml:space="preserve"> who can attend in your place and provide an update on your behalf.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Proxies should be adequately briefed to ensure accurate and effective representation.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m4g0xytq412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Commitment to Collective Representation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role requires ongoing engagement with the broader faculty to ensure that diverse perspectives are heard and elevated.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Representatives are expected to approach this work with an </w:t>
      </w:r>
      <w:r w:rsidDel="00000000" w:rsidR="00000000" w:rsidRPr="00000000">
        <w:rPr>
          <w:rtl w:val="0"/>
        </w:rPr>
        <w:t xml:space="preserve">equity-minded lens</w:t>
      </w:r>
      <w:r w:rsidDel="00000000" w:rsidR="00000000" w:rsidRPr="00000000">
        <w:rPr>
          <w:rtl w:val="0"/>
        </w:rPr>
        <w:t xml:space="preserve">, recognizing the importance of amplifying voices that may be historically underrepresented in governance spaces.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qvyon6zd1vt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Accountability and Continuity of Service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Effective representation depends on active participation, consistent communication, and meaningful engagement with the Senate.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a representative is unable to fulfill these responsibilities, particularly if communication and representation do not serve or benefit the collective, there may be </w:t>
      </w:r>
      <w:r w:rsidDel="00000000" w:rsidR="00000000" w:rsidRPr="00000000">
        <w:rPr>
          <w:rtl w:val="0"/>
        </w:rPr>
        <w:t xml:space="preserve">consideration for reassignment or removal from the role </w:t>
      </w:r>
      <w:r w:rsidDel="00000000" w:rsidR="00000000" w:rsidRPr="00000000">
        <w:rPr>
          <w:rtl w:val="0"/>
        </w:rPr>
        <w:t xml:space="preserve">to ensure the integrity of participatory governance processes.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service in this role strengthens shared governance and contributes to a more transparent, inclusive, and collaborative campus environment. We are stronger when we remain connected, informed, and accountable to one another.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