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Grossmont College Academic Senate</w:t>
        <w:br w:type="textWrapping"/>
        <w:t xml:space="preserve">Resolution in Support of Grossmont College Participation in the Pan-African Virtual College (PAVC)</w:t>
        <w:br w:type="textWrapping"/>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Whereas, </w:t>
      </w:r>
      <w:r w:rsidDel="00000000" w:rsidR="00000000" w:rsidRPr="00000000">
        <w:rPr>
          <w:rtl w:val="0"/>
        </w:rPr>
        <w:t xml:space="preserve">the mission of Grossmont College reflects a commitment to equity, inclusion, global engagement, and the academic success of a diverse student population, and advances equity-minded practices that affirm students’ cultural identities while supporting historically underrepresented populations through innovative and inclusive programming;</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Whereas,</w:t>
      </w:r>
      <w:r w:rsidDel="00000000" w:rsidR="00000000" w:rsidRPr="00000000">
        <w:rPr>
          <w:rtl w:val="0"/>
        </w:rPr>
        <w:t xml:space="preserve"> Grossmont College seeks to expand meaningful international and cross-cultural learning opportunities that reflect the diverse identities, histories, and lived experiences of its students; </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Whereas,</w:t>
      </w:r>
      <w:r w:rsidDel="00000000" w:rsidR="00000000" w:rsidRPr="00000000">
        <w:rPr>
          <w:rtl w:val="0"/>
        </w:rPr>
        <w:t xml:space="preserve"> in April 2025, the California Community Colleges (CCC) system, the A2MEND program, and the University of Ghana announced a collaborative effort to establish a Pan-African Virtual College (PAVC); and the California Community Colleges Chancellor’s Office recognizes the PAVC as a cross-cultural exchange initiative designed to connect California community colleges with Ghanaian higher education institutions, promote African-centered knowledge, and provide high-quality, accessible instruction; </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Whereas,</w:t>
      </w:r>
      <w:r w:rsidDel="00000000" w:rsidR="00000000" w:rsidRPr="00000000">
        <w:rPr>
          <w:rtl w:val="0"/>
        </w:rPr>
        <w:t xml:space="preserve"> the goals of the PAVC include advancing African-centered pedagogy, fostering global academic collaboration, and strengthening cultural connections between students in the United States and across the African continent; and participation in the PAVC aligns with the California Community Colleges’ Vision for Success and Diversity, Equity, Inclusion, and Accessibility (DEIA) priorities by working to close equity gaps and expand culturally responsive educational opportunities; and</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Whereas,</w:t>
      </w:r>
      <w:r w:rsidDel="00000000" w:rsidR="00000000" w:rsidRPr="00000000">
        <w:rPr>
          <w:rtl w:val="0"/>
        </w:rPr>
        <w:t xml:space="preserve"> engagement in the PAVC would position Grossmont College as a leader in global, equity-centered education and provide students with transformative, culturally relevant learning experiences;</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Resolved,</w:t>
      </w:r>
      <w:r w:rsidDel="00000000" w:rsidR="00000000" w:rsidRPr="00000000">
        <w:rPr>
          <w:rtl w:val="0"/>
        </w:rPr>
        <w:t xml:space="preserve"> that the Grossmont College Academic Senate formally supports institutional participation in the PAVC;</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Resolved,</w:t>
      </w:r>
      <w:r w:rsidDel="00000000" w:rsidR="00000000" w:rsidRPr="00000000">
        <w:rPr>
          <w:rtl w:val="0"/>
        </w:rPr>
        <w:t xml:space="preserve"> that the Grossmont College Academic Senate urges the Grossmont-Cuyamaca Community College District Board of Trustees to support and advance Grossmont College’s engagement in the PAVC; and</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Resolved, </w:t>
      </w:r>
      <w:r w:rsidDel="00000000" w:rsidR="00000000" w:rsidRPr="00000000">
        <w:rPr>
          <w:rtl w:val="0"/>
        </w:rPr>
        <w:t xml:space="preserve">that</w:t>
      </w:r>
      <w:r w:rsidDel="00000000" w:rsidR="00000000" w:rsidRPr="00000000">
        <w:rPr>
          <w:rtl w:val="0"/>
        </w:rPr>
        <w:t xml:space="preserve"> the Grossmont College Academic Senate encourages collaboration with system and intersegmental partners to develop and implement the PAVC framework, including curriculum development, faculty engagement, and student access.</w:t>
      </w:r>
    </w:p>
    <w:p w:rsidR="00000000" w:rsidDel="00000000" w:rsidP="00000000" w:rsidRDefault="00000000" w:rsidRPr="00000000" w14:paraId="0000000A">
      <w:pPr>
        <w:rPr/>
      </w:pPr>
      <w:r w:rsidDel="00000000" w:rsidR="00000000" w:rsidRPr="00000000">
        <w:rPr>
          <w:rtl w:val="0"/>
        </w:rPr>
        <w:t xml:space="preserve">1 “California Community Colleges, A²MEND and University of Ghana Collaborate to Establish Pan-African Virtual College.</w:t>
      </w:r>
    </w:p>
    <w:p w:rsidR="00000000" w:rsidDel="00000000" w:rsidP="00000000" w:rsidRDefault="00000000" w:rsidRPr="00000000" w14:paraId="0000000B">
      <w:pPr>
        <w:rPr/>
      </w:pPr>
      <w:hyperlink r:id="rId6">
        <w:r w:rsidDel="00000000" w:rsidR="00000000" w:rsidRPr="00000000">
          <w:rPr>
            <w:color w:val="1155cc"/>
            <w:u w:val="single"/>
            <w:rtl w:val="0"/>
          </w:rPr>
          <w:t xml:space="preserve">https://www.ug.edu.gh/news/california-community-colleges-a2mend-and-university-ghana-collaborate-est</w:t>
        </w:r>
      </w:hyperlink>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 2 “Supporting International Education Opportunities for California Community Colleges Students. ”California Community Colleges, The Success Center for Vision 2030 – The July 2025 Edition, accessed 25 October, 2025.</w:t>
      </w:r>
    </w:p>
    <w:p w:rsidR="00000000" w:rsidDel="00000000" w:rsidP="00000000" w:rsidRDefault="00000000" w:rsidRPr="00000000" w14:paraId="0000000E">
      <w:pPr>
        <w:rPr/>
      </w:pPr>
      <w:hyperlink r:id="rId7">
        <w:r w:rsidDel="00000000" w:rsidR="00000000" w:rsidRPr="00000000">
          <w:rPr>
            <w:color w:val="1155cc"/>
            <w:u w:val="single"/>
            <w:rtl w:val="0"/>
          </w:rPr>
          <w:t xml:space="preserve">https://www.cccco.edu/-/media/CCCCO-Website/docs/vision2030/international-education-discussion-pape</w:t>
        </w:r>
      </w:hyperlink>
      <w:r w:rsidDel="00000000" w:rsidR="00000000" w:rsidRPr="00000000">
        <w:rPr>
          <w:rtl w:val="0"/>
        </w:rPr>
        <w:t xml:space="preserve">r</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3 “Diversity, Equity, Inclusion and Accessibility (DEIA).” California Community Colleges Chancellor’s Office, accessed 20 October, 2025, </w:t>
      </w:r>
      <w:hyperlink r:id="rId8">
        <w:r w:rsidDel="00000000" w:rsidR="00000000" w:rsidRPr="00000000">
          <w:rPr>
            <w:color w:val="1155cc"/>
            <w:u w:val="single"/>
            <w:rtl w:val="0"/>
          </w:rPr>
          <w:t xml:space="preserve">https://www.cccco.edu/About-Us/diversity-equity-inclusion</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ug.edu.gh/news/california-community-colleges-a2mend-and-university-ghana-collaborate-est" TargetMode="External"/><Relationship Id="rId7" Type="http://schemas.openxmlformats.org/officeDocument/2006/relationships/hyperlink" Target="https://www.cccco.edu/-/media/CCCCO-Website/docs/vision2030/international-education-discussion-pape" TargetMode="External"/><Relationship Id="rId8" Type="http://schemas.openxmlformats.org/officeDocument/2006/relationships/hyperlink" Target="https://www.cccco.edu/About-Us/diversity-equity-in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